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94A37">
      <w:pPr>
        <w:pStyle w:val="17"/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181"/>
        <w:jc w:val="center"/>
        <w:rPr>
          <w:rStyle w:val="36"/>
          <w:rFonts w:hint="eastAsia" w:asciiTheme="minorEastAsia" w:hAnsiTheme="minorEastAsia" w:eastAsiaTheme="minorEastAsia" w:cstheme="minorEastAsia"/>
          <w:b/>
          <w:sz w:val="30"/>
          <w:szCs w:val="30"/>
          <w:lang w:val="en-US" w:eastAsia="zh-CN"/>
        </w:rPr>
      </w:pPr>
      <w:bookmarkStart w:id="0" w:name="OLE_LINK3"/>
      <w:bookmarkStart w:id="1" w:name="OLE_LINK4"/>
      <w:bookmarkStart w:id="2" w:name="OLE_LINK1"/>
      <w:r>
        <w:rPr>
          <w:rStyle w:val="36"/>
          <w:rFonts w:hint="eastAsia" w:asciiTheme="minorEastAsia" w:hAnsiTheme="minorEastAsia" w:eastAsiaTheme="minorEastAsia" w:cstheme="minorEastAsia"/>
          <w:b/>
          <w:sz w:val="30"/>
          <w:szCs w:val="30"/>
        </w:rPr>
        <w:t>桂林市中西</w:t>
      </w:r>
      <w:r>
        <w:rPr>
          <w:rStyle w:val="36"/>
          <w:rFonts w:hint="eastAsia" w:asciiTheme="minorEastAsia" w:hAnsiTheme="minorEastAsia" w:eastAsiaTheme="minorEastAsia" w:cstheme="minorEastAsia"/>
          <w:b/>
          <w:sz w:val="30"/>
          <w:szCs w:val="30"/>
          <w:lang w:val="en-US" w:eastAsia="zh-CN"/>
        </w:rPr>
        <w:t>医</w:t>
      </w:r>
      <w:r>
        <w:rPr>
          <w:rStyle w:val="36"/>
          <w:rFonts w:hint="eastAsia" w:asciiTheme="minorEastAsia" w:hAnsiTheme="minorEastAsia" w:eastAsiaTheme="minorEastAsia" w:cstheme="minorEastAsia"/>
          <w:b/>
          <w:sz w:val="30"/>
          <w:szCs w:val="30"/>
        </w:rPr>
        <w:t>结合医院</w:t>
      </w:r>
      <w:r>
        <w:rPr>
          <w:rStyle w:val="36"/>
          <w:rFonts w:hint="eastAsia" w:asciiTheme="minorEastAsia" w:hAnsiTheme="minorEastAsia" w:eastAsiaTheme="minorEastAsia" w:cstheme="minorEastAsia"/>
          <w:b/>
          <w:sz w:val="30"/>
          <w:szCs w:val="30"/>
          <w:lang w:val="en-US" w:eastAsia="zh-CN"/>
        </w:rPr>
        <w:t>外勤服务项目市场调研公告</w:t>
      </w:r>
    </w:p>
    <w:p w14:paraId="17B3C9CE">
      <w:pPr>
        <w:pStyle w:val="17"/>
        <w:keepNext w:val="0"/>
        <w:keepLines w:val="0"/>
        <w:widowControl/>
        <w:suppressLineNumbers w:val="0"/>
        <w:spacing w:before="0" w:beforeAutospacing="0" w:after="0" w:afterAutospacing="0" w:line="520" w:lineRule="atLeast"/>
        <w:ind w:left="0" w:right="0" w:firstLine="181"/>
        <w:jc w:val="center"/>
        <w:rPr>
          <w:rStyle w:val="36"/>
          <w:rFonts w:hint="eastAsia" w:asciiTheme="minorEastAsia" w:hAnsiTheme="minorEastAsia" w:eastAsiaTheme="minorEastAsia" w:cstheme="minorEastAsia"/>
          <w:b/>
          <w:sz w:val="30"/>
          <w:szCs w:val="30"/>
          <w:lang w:val="en-US" w:eastAsia="zh-CN"/>
        </w:rPr>
      </w:pPr>
    </w:p>
    <w:p w14:paraId="09ED87CA">
      <w:pPr>
        <w:spacing w:line="360" w:lineRule="auto"/>
        <w:ind w:firstLine="600" w:firstLineChars="200"/>
        <w:jc w:val="both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我院拟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对医院外勤服务项目进行市场调研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，欢迎具有相应资质的单位前来报名，相关事项公告如下：</w:t>
      </w:r>
    </w:p>
    <w:p w14:paraId="7EDDD314">
      <w:pPr>
        <w:numPr>
          <w:ilvl w:val="0"/>
          <w:numId w:val="2"/>
        </w:numPr>
        <w:spacing w:line="360" w:lineRule="auto"/>
        <w:ind w:firstLine="602" w:firstLineChars="200"/>
        <w:jc w:val="both"/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30"/>
          <w:szCs w:val="30"/>
        </w:rPr>
        <w:t>项目名称：</w:t>
      </w:r>
      <w:r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  <w:lang w:val="en-US" w:eastAsia="zh-CN"/>
        </w:rPr>
        <w:t>桂林市中西医结合医院外勤服务采购项目</w:t>
      </w:r>
    </w:p>
    <w:p w14:paraId="34343F8C">
      <w:pPr>
        <w:numPr>
          <w:ilvl w:val="0"/>
          <w:numId w:val="2"/>
        </w:numPr>
        <w:spacing w:line="360" w:lineRule="auto"/>
        <w:ind w:firstLine="602" w:firstLineChars="200"/>
        <w:jc w:val="both"/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</w:rPr>
      </w:pPr>
      <w:r>
        <w:rPr>
          <w:rStyle w:val="36"/>
          <w:rFonts w:hint="eastAsia" w:asciiTheme="minorEastAsia" w:hAnsiTheme="minorEastAsia" w:eastAsiaTheme="minorEastAsia" w:cstheme="minorEastAsia"/>
          <w:b/>
          <w:color w:val="000000"/>
          <w:sz w:val="30"/>
          <w:szCs w:val="30"/>
          <w:lang w:val="en-US" w:eastAsia="zh-CN"/>
        </w:rPr>
        <w:t>项目概况及要求</w:t>
      </w:r>
      <w:r>
        <w:rPr>
          <w:rStyle w:val="36"/>
          <w:rFonts w:hint="eastAsia" w:asciiTheme="minorEastAsia" w:hAnsiTheme="minorEastAsia" w:eastAsiaTheme="minorEastAsia" w:cstheme="minorEastAsia"/>
          <w:b/>
          <w:color w:val="000000"/>
          <w:sz w:val="30"/>
          <w:szCs w:val="30"/>
        </w:rPr>
        <w:t>：</w:t>
      </w:r>
    </w:p>
    <w:p w14:paraId="1BB2DA4F">
      <w:pPr>
        <w:numPr>
          <w:ilvl w:val="0"/>
          <w:numId w:val="0"/>
        </w:numPr>
        <w:spacing w:line="360" w:lineRule="auto"/>
        <w:ind w:firstLine="600" w:firstLineChars="200"/>
        <w:jc w:val="both"/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</w:rPr>
      </w:pPr>
      <w:r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</w:rPr>
        <w:t>（一）服务区域：</w:t>
      </w:r>
      <w:r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  <w:lang w:val="en-US" w:eastAsia="zh-CN"/>
        </w:rPr>
        <w:t>桂林市中西医结合医院</w:t>
      </w:r>
      <w:r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</w:rPr>
        <w:t> </w:t>
      </w:r>
    </w:p>
    <w:p w14:paraId="40EBB699">
      <w:pPr>
        <w:spacing w:line="420" w:lineRule="exact"/>
        <w:ind w:firstLine="600" w:firstLineChars="200"/>
        <w:jc w:val="both"/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  <w:lang w:val="en-US" w:eastAsia="zh-CN"/>
        </w:rPr>
      </w:pPr>
      <w:r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</w:rPr>
        <w:t>（</w:t>
      </w:r>
      <w:r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  <w:lang w:val="en-US" w:eastAsia="zh-CN"/>
        </w:rPr>
        <w:t>二</w:t>
      </w:r>
      <w:r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</w:rPr>
        <w:t>）合作模式：</w:t>
      </w:r>
      <w:r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  <w:lang w:val="en-US" w:eastAsia="zh-CN"/>
        </w:rPr>
        <w:t>遴选一家公司</w:t>
      </w:r>
      <w:r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</w:rPr>
        <w:t>为</w:t>
      </w:r>
      <w:r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  <w:lang w:val="en-US" w:eastAsia="zh-CN"/>
        </w:rPr>
        <w:t>医院提供全院病患陪检，标本、卫材、药品及大型输液等运送工作。</w:t>
      </w:r>
    </w:p>
    <w:p w14:paraId="188BF469">
      <w:pPr>
        <w:spacing w:line="420" w:lineRule="exact"/>
        <w:ind w:firstLine="600" w:firstLineChars="200"/>
        <w:jc w:val="both"/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  <w:lang w:val="en-US" w:eastAsia="zh-CN"/>
        </w:rPr>
      </w:pPr>
      <w:r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sz w:val="30"/>
          <w:szCs w:val="30"/>
          <w:lang w:val="en-US" w:eastAsia="zh-CN"/>
        </w:rPr>
        <w:t>（三）服务采购需求：详见附件1。</w:t>
      </w:r>
    </w:p>
    <w:p w14:paraId="778E1712">
      <w:pPr>
        <w:spacing w:line="420" w:lineRule="exact"/>
        <w:ind w:firstLine="602" w:firstLineChars="200"/>
        <w:jc w:val="both"/>
        <w:rPr>
          <w:rStyle w:val="36"/>
          <w:rFonts w:hint="eastAsia" w:asciiTheme="minorEastAsia" w:hAnsiTheme="minorEastAsia" w:eastAsiaTheme="minorEastAsia" w:cstheme="minorEastAsia"/>
          <w:b/>
          <w:color w:val="000000"/>
          <w:sz w:val="30"/>
          <w:szCs w:val="30"/>
        </w:rPr>
      </w:pPr>
      <w:r>
        <w:rPr>
          <w:rStyle w:val="36"/>
          <w:rFonts w:hint="eastAsia" w:asciiTheme="minorEastAsia" w:hAnsiTheme="minorEastAsia" w:eastAsiaTheme="minorEastAsia" w:cstheme="minorEastAsia"/>
          <w:b/>
          <w:color w:val="000000"/>
          <w:sz w:val="30"/>
          <w:szCs w:val="30"/>
          <w:lang w:val="en-US" w:eastAsia="zh-CN"/>
        </w:rPr>
        <w:t>三</w:t>
      </w:r>
      <w:r>
        <w:rPr>
          <w:rStyle w:val="36"/>
          <w:rFonts w:hint="eastAsia" w:asciiTheme="minorEastAsia" w:hAnsiTheme="minorEastAsia" w:eastAsiaTheme="minorEastAsia" w:cstheme="minorEastAsia"/>
          <w:b/>
          <w:color w:val="000000"/>
          <w:sz w:val="30"/>
          <w:szCs w:val="30"/>
        </w:rPr>
        <w:t>、对</w:t>
      </w:r>
      <w:r>
        <w:rPr>
          <w:rStyle w:val="36"/>
          <w:rFonts w:hint="eastAsia" w:asciiTheme="minorEastAsia" w:hAnsiTheme="minorEastAsia" w:eastAsiaTheme="minorEastAsia" w:cstheme="minorEastAsia"/>
          <w:b/>
          <w:color w:val="000000"/>
          <w:sz w:val="30"/>
          <w:szCs w:val="30"/>
          <w:lang w:val="en-US" w:eastAsia="zh-CN"/>
        </w:rPr>
        <w:t>供应商</w:t>
      </w:r>
      <w:r>
        <w:rPr>
          <w:rStyle w:val="36"/>
          <w:rFonts w:hint="eastAsia" w:asciiTheme="minorEastAsia" w:hAnsiTheme="minorEastAsia" w:eastAsiaTheme="minorEastAsia" w:cstheme="minorEastAsia"/>
          <w:b/>
          <w:color w:val="000000"/>
          <w:sz w:val="30"/>
          <w:szCs w:val="30"/>
        </w:rPr>
        <w:t>要求：</w:t>
      </w:r>
    </w:p>
    <w:p w14:paraId="55C86909">
      <w:pPr>
        <w:spacing w:line="420" w:lineRule="exact"/>
        <w:ind w:firstLine="600" w:firstLineChars="200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（一）符合《中华人民共和国政府采购法》第22条要求；</w:t>
      </w:r>
    </w:p>
    <w:p w14:paraId="448E5151">
      <w:pPr>
        <w:spacing w:line="420" w:lineRule="exact"/>
        <w:ind w:firstLine="600" w:firstLineChars="200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（二）本次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eastAsia="zh-CN"/>
        </w:rPr>
        <w:t>招标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不接受联合体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参加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；</w:t>
      </w:r>
    </w:p>
    <w:p w14:paraId="21496965">
      <w:pPr>
        <w:spacing w:line="420" w:lineRule="exact"/>
        <w:ind w:firstLine="600" w:firstLineChars="200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（三）本项目未经采购人许可不得转包、分包；</w:t>
      </w:r>
    </w:p>
    <w:p w14:paraId="56386B12">
      <w:pPr>
        <w:spacing w:line="420" w:lineRule="exact"/>
        <w:ind w:firstLine="600" w:firstLineChars="200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（四）法定代表人（或股东）为同一个人的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eastAsia="zh-CN"/>
        </w:rPr>
        <w:t>供应商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，或归属于同一个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eastAsia="zh-CN"/>
        </w:rPr>
        <w:t>供应商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的母公司、全资子公司、控股公司、只能有一家参加同一项目的投标；</w:t>
      </w:r>
    </w:p>
    <w:p w14:paraId="51176C24">
      <w:pPr>
        <w:numPr>
          <w:ilvl w:val="0"/>
          <w:numId w:val="3"/>
        </w:numPr>
        <w:spacing w:line="420" w:lineRule="exact"/>
        <w:ind w:firstLine="600" w:firstLineChars="200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eastAsia="zh-CN"/>
        </w:rPr>
        <w:t>经营范围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或资质需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eastAsia="zh-CN"/>
        </w:rPr>
        <w:t>符合项目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要求。</w:t>
      </w:r>
    </w:p>
    <w:p w14:paraId="1045DC9B">
      <w:pPr>
        <w:numPr>
          <w:ilvl w:val="0"/>
          <w:numId w:val="0"/>
        </w:numPr>
        <w:spacing w:line="420" w:lineRule="exact"/>
        <w:ind w:leftChars="200" w:firstLine="301" w:firstLineChars="100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sz w:val="30"/>
          <w:szCs w:val="30"/>
          <w:lang w:val="en-US" w:eastAsia="zh-CN"/>
        </w:rPr>
        <w:t>四、</w:t>
      </w:r>
      <w:r>
        <w:rPr>
          <w:rFonts w:hint="eastAsia" w:asciiTheme="minorEastAsia" w:hAnsiTheme="minorEastAsia" w:eastAsiaTheme="minorEastAsia" w:cstheme="minorEastAsia"/>
          <w:b/>
          <w:sz w:val="30"/>
          <w:szCs w:val="30"/>
        </w:rPr>
        <w:t>报名</w:t>
      </w:r>
      <w:r>
        <w:rPr>
          <w:rFonts w:hint="eastAsia" w:asciiTheme="minorEastAsia" w:hAnsiTheme="minorEastAsia" w:eastAsiaTheme="minorEastAsia" w:cstheme="minorEastAsia"/>
          <w:b/>
          <w:sz w:val="30"/>
          <w:szCs w:val="30"/>
          <w:lang w:val="en-US" w:eastAsia="zh-CN"/>
        </w:rPr>
        <w:t>时间、方式等</w:t>
      </w:r>
    </w:p>
    <w:p w14:paraId="4A056ADA">
      <w:pPr>
        <w:numPr>
          <w:ilvl w:val="0"/>
          <w:numId w:val="0"/>
        </w:numPr>
        <w:spacing w:line="420" w:lineRule="exact"/>
        <w:ind w:leftChars="200" w:firstLine="300" w:firstLineChars="100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（一）报名时间：2026年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月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16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日至2026年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月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22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日（工作日上午8:00-12:00，下午15:00-18:00），逾期不再接收报名。</w:t>
      </w:r>
    </w:p>
    <w:p w14:paraId="4C53A433">
      <w:pPr>
        <w:spacing w:line="420" w:lineRule="exact"/>
        <w:ind w:left="315" w:leftChars="150" w:firstLine="441" w:firstLineChars="147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（二）报名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方式：①网上报名，潜在供应商将下述材料准备好后发送至邮箱（3653744334@qq.com）即完成报名，否则将视为报名不成功。②也可以到现场报名，地址：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桂林市七星区半塘路6号桂林市中西医结合医院9号楼4楼总务科五室。</w:t>
      </w:r>
    </w:p>
    <w:p w14:paraId="0EFCEE27">
      <w:pPr>
        <w:spacing w:line="420" w:lineRule="exact"/>
        <w:ind w:left="315" w:leftChars="150" w:firstLine="441" w:firstLineChars="147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（三）供应商报名时须提交以下材料：</w:t>
      </w:r>
    </w:p>
    <w:p w14:paraId="491193DD">
      <w:pPr>
        <w:spacing w:line="420" w:lineRule="exact"/>
        <w:ind w:left="315" w:leftChars="150" w:firstLine="741" w:firstLineChars="247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1.营业执照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复印件，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加盖公章；</w:t>
      </w:r>
    </w:p>
    <w:p w14:paraId="39E4355F">
      <w:pPr>
        <w:spacing w:line="420" w:lineRule="exact"/>
        <w:ind w:left="315" w:leftChars="150" w:firstLine="741" w:firstLineChars="247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2.经营许可证、相关资质证书，加盖公章：（如有请提供）</w:t>
      </w:r>
    </w:p>
    <w:p w14:paraId="6E8E9498">
      <w:pPr>
        <w:spacing w:line="420" w:lineRule="exact"/>
        <w:ind w:left="315" w:leftChars="150" w:firstLine="741" w:firstLineChars="247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.提供在"信用中国"网站（www.creditchina.gov.cn）、中国政府采购网（www.ccgp.gov.cn）等渠道未被列入失信被执行人、重大税收违法案件当事人名单、政府采购严重违法失信行为记录名单的证明（查询结果网页打印件并加盖公章）；</w:t>
      </w:r>
    </w:p>
    <w:p w14:paraId="541281A8">
      <w:pPr>
        <w:spacing w:line="420" w:lineRule="exact"/>
        <w:ind w:left="315" w:leftChars="150" w:firstLine="741" w:firstLineChars="247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4.需求表、报价单（见附件1、2）打印后加盖公章扫描件；</w:t>
      </w:r>
    </w:p>
    <w:p w14:paraId="7FDFCB99">
      <w:pPr>
        <w:spacing w:line="420" w:lineRule="exact"/>
        <w:ind w:left="315" w:leftChars="150" w:firstLine="741" w:firstLineChars="247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5.相关业绩证明材料（需提供近期相关业绩的合同，合同页需体现价格、岗位人数等）</w:t>
      </w:r>
    </w:p>
    <w:p w14:paraId="01F54B0C">
      <w:pPr>
        <w:spacing w:line="420" w:lineRule="exact"/>
        <w:ind w:left="315" w:leftChars="150" w:firstLine="141" w:firstLineChars="47"/>
        <w:jc w:val="both"/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(如选择到现场报名的，提交以上材料纸质版一份）</w:t>
      </w:r>
    </w:p>
    <w:p w14:paraId="35CAFF29">
      <w:pPr>
        <w:spacing w:line="420" w:lineRule="exact"/>
        <w:ind w:firstLine="904" w:firstLineChars="300"/>
        <w:jc w:val="both"/>
        <w:rPr>
          <w:rStyle w:val="36"/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Style w:val="36"/>
          <w:rFonts w:hint="eastAsia" w:asciiTheme="minorEastAsia" w:hAnsiTheme="minorEastAsia" w:eastAsiaTheme="minorEastAsia" w:cstheme="minorEastAsia"/>
          <w:b/>
          <w:sz w:val="30"/>
          <w:szCs w:val="30"/>
          <w:lang w:val="en-US" w:eastAsia="zh-CN"/>
        </w:rPr>
        <w:t>五</w:t>
      </w:r>
      <w:r>
        <w:rPr>
          <w:rStyle w:val="36"/>
          <w:rFonts w:hint="eastAsia" w:asciiTheme="minorEastAsia" w:hAnsiTheme="minorEastAsia" w:eastAsiaTheme="minorEastAsia" w:cstheme="minorEastAsia"/>
          <w:b/>
          <w:sz w:val="30"/>
          <w:szCs w:val="30"/>
        </w:rPr>
        <w:t>、</w:t>
      </w:r>
      <w:r>
        <w:rPr>
          <w:rStyle w:val="36"/>
          <w:rFonts w:hint="eastAsia" w:asciiTheme="minorEastAsia" w:hAnsiTheme="minorEastAsia" w:eastAsiaTheme="minorEastAsia" w:cstheme="minorEastAsia"/>
          <w:b/>
          <w:sz w:val="30"/>
          <w:szCs w:val="30"/>
          <w:lang w:val="en-US" w:eastAsia="zh-CN"/>
        </w:rPr>
        <w:t>调</w:t>
      </w:r>
      <w:r>
        <w:rPr>
          <w:rStyle w:val="36"/>
          <w:rFonts w:hint="eastAsia" w:asciiTheme="minorEastAsia" w:hAnsiTheme="minorEastAsia" w:eastAsiaTheme="minorEastAsia" w:cstheme="minorEastAsia"/>
          <w:b/>
          <w:sz w:val="30"/>
          <w:szCs w:val="30"/>
        </w:rPr>
        <w:t>时间：</w:t>
      </w:r>
      <w:r>
        <w:rPr>
          <w:rStyle w:val="36"/>
          <w:rFonts w:hint="eastAsia" w:asciiTheme="minorEastAsia" w:hAnsiTheme="minorEastAsia" w:eastAsiaTheme="minorEastAsia" w:cstheme="minorEastAsia"/>
          <w:sz w:val="30"/>
          <w:szCs w:val="30"/>
        </w:rPr>
        <w:t>另行通知</w:t>
      </w:r>
    </w:p>
    <w:p w14:paraId="7D555281">
      <w:pPr>
        <w:spacing w:line="240" w:lineRule="atLeast"/>
        <w:ind w:firstLine="904" w:firstLineChars="300"/>
        <w:jc w:val="both"/>
        <w:rPr>
          <w:rStyle w:val="36"/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Style w:val="36"/>
          <w:rFonts w:hint="eastAsia" w:asciiTheme="minorEastAsia" w:hAnsiTheme="minorEastAsia" w:eastAsiaTheme="minorEastAsia" w:cstheme="minorEastAsia"/>
          <w:b/>
          <w:sz w:val="30"/>
          <w:szCs w:val="30"/>
          <w:lang w:val="en-US" w:eastAsia="zh-CN"/>
        </w:rPr>
        <w:t>六</w:t>
      </w:r>
      <w:r>
        <w:rPr>
          <w:rStyle w:val="36"/>
          <w:rFonts w:hint="eastAsia" w:asciiTheme="minorEastAsia" w:hAnsiTheme="minorEastAsia" w:eastAsiaTheme="minorEastAsia" w:cstheme="minorEastAsia"/>
          <w:b/>
          <w:sz w:val="30"/>
          <w:szCs w:val="30"/>
        </w:rPr>
        <w:t>、联系人及方式：</w:t>
      </w:r>
      <w:r>
        <w:rPr>
          <w:rStyle w:val="36"/>
          <w:rFonts w:hint="eastAsia" w:asciiTheme="minorEastAsia" w:hAnsiTheme="minorEastAsia" w:eastAsiaTheme="minorEastAsia" w:cstheme="minorEastAsia"/>
          <w:sz w:val="30"/>
          <w:szCs w:val="30"/>
        </w:rPr>
        <w:t>郭老师，电话：0773-3569995。</w:t>
      </w:r>
    </w:p>
    <w:p w14:paraId="58F8CC36">
      <w:pPr>
        <w:pStyle w:val="39"/>
        <w:spacing w:line="420" w:lineRule="exact"/>
        <w:ind w:firstLine="904" w:firstLineChars="300"/>
        <w:jc w:val="both"/>
        <w:rPr>
          <w:rStyle w:val="36"/>
          <w:rFonts w:hint="eastAsia" w:asciiTheme="minorEastAsia" w:hAnsiTheme="minorEastAsia" w:eastAsiaTheme="minorEastAsia" w:cstheme="minorEastAsia"/>
          <w:color w:val="000000"/>
          <w:kern w:val="0"/>
          <w:sz w:val="30"/>
          <w:szCs w:val="30"/>
        </w:rPr>
      </w:pPr>
      <w:r>
        <w:rPr>
          <w:rStyle w:val="36"/>
          <w:rFonts w:hint="eastAsia" w:asciiTheme="minorEastAsia" w:hAnsiTheme="minorEastAsia" w:eastAsiaTheme="minorEastAsia" w:cstheme="minorEastAsia"/>
          <w:b/>
          <w:sz w:val="30"/>
          <w:szCs w:val="30"/>
          <w:lang w:val="en-US" w:eastAsia="zh-CN"/>
        </w:rPr>
        <w:t>七</w:t>
      </w:r>
      <w:r>
        <w:rPr>
          <w:rStyle w:val="36"/>
          <w:rFonts w:hint="eastAsia" w:asciiTheme="minorEastAsia" w:hAnsiTheme="minorEastAsia" w:eastAsiaTheme="minorEastAsia" w:cstheme="minorEastAsia"/>
          <w:b/>
          <w:sz w:val="30"/>
          <w:szCs w:val="30"/>
        </w:rPr>
        <w:t>、</w:t>
      </w:r>
      <w:r>
        <w:rPr>
          <w:rStyle w:val="36"/>
          <w:rFonts w:hint="eastAsia" w:asciiTheme="minorEastAsia" w:hAnsiTheme="minorEastAsia" w:eastAsiaTheme="minorEastAsia" w:cstheme="minorEastAsia"/>
          <w:b/>
          <w:bCs w:val="0"/>
          <w:color w:val="000000"/>
          <w:kern w:val="0"/>
          <w:sz w:val="30"/>
          <w:szCs w:val="30"/>
        </w:rPr>
        <w:t>信息公告发布媒体</w:t>
      </w:r>
      <w:r>
        <w:rPr>
          <w:rStyle w:val="36"/>
          <w:rFonts w:hint="eastAsia" w:asciiTheme="minorEastAsia" w:hAnsiTheme="minorEastAsia" w:eastAsiaTheme="minorEastAsia" w:cstheme="minorEastAsia"/>
          <w:b/>
          <w:color w:val="000000"/>
          <w:kern w:val="0"/>
          <w:sz w:val="30"/>
          <w:szCs w:val="30"/>
        </w:rPr>
        <w:t>：</w:t>
      </w:r>
      <w:r>
        <w:rPr>
          <w:rStyle w:val="36"/>
          <w:rFonts w:hint="eastAsia" w:asciiTheme="minorEastAsia" w:hAnsiTheme="minorEastAsia" w:eastAsiaTheme="minorEastAsia" w:cstheme="minorEastAsia"/>
          <w:color w:val="000000"/>
          <w:kern w:val="0"/>
          <w:sz w:val="30"/>
          <w:szCs w:val="30"/>
        </w:rPr>
        <w:t>桂林市中西医结合医院内网和外网。</w:t>
      </w:r>
    </w:p>
    <w:p w14:paraId="59DFEC52">
      <w:pPr>
        <w:pStyle w:val="39"/>
        <w:spacing w:line="420" w:lineRule="exact"/>
        <w:ind w:firstLine="904" w:firstLineChars="300"/>
        <w:jc w:val="both"/>
        <w:rPr>
          <w:rStyle w:val="36"/>
          <w:rFonts w:hint="eastAsia" w:asciiTheme="minorEastAsia" w:hAnsiTheme="minorEastAsia" w:eastAsiaTheme="minorEastAsia" w:cstheme="minorEastAsia"/>
          <w:b/>
          <w:bCs w:val="0"/>
          <w:color w:val="000000"/>
          <w:kern w:val="0"/>
          <w:sz w:val="30"/>
          <w:szCs w:val="30"/>
          <w:lang w:val="en-US" w:eastAsia="zh-CN"/>
        </w:rPr>
      </w:pPr>
      <w:r>
        <w:rPr>
          <w:rStyle w:val="36"/>
          <w:rFonts w:hint="eastAsia" w:asciiTheme="minorEastAsia" w:hAnsiTheme="minorEastAsia" w:eastAsiaTheme="minorEastAsia" w:cstheme="minorEastAsia"/>
          <w:b/>
          <w:bCs w:val="0"/>
          <w:color w:val="000000"/>
          <w:kern w:val="0"/>
          <w:sz w:val="30"/>
          <w:szCs w:val="30"/>
          <w:lang w:val="en-US" w:eastAsia="zh-CN"/>
        </w:rPr>
        <w:t>八、</w:t>
      </w:r>
      <w:r>
        <w:rPr>
          <w:rStyle w:val="36"/>
          <w:rFonts w:hint="eastAsia" w:asciiTheme="minorEastAsia" w:hAnsiTheme="minorEastAsia" w:eastAsiaTheme="minorEastAsia" w:cstheme="minorEastAsia"/>
          <w:b w:val="0"/>
          <w:bCs/>
          <w:color w:val="000000"/>
          <w:kern w:val="0"/>
          <w:sz w:val="30"/>
          <w:szCs w:val="30"/>
        </w:rPr>
        <w:t>本次市场调研结果仅为制定技术参数及控制价辅助依据，不作为成交依据，具体以医院实际需求为准。</w:t>
      </w:r>
    </w:p>
    <w:p w14:paraId="1F45D460">
      <w:pPr>
        <w:spacing w:line="420" w:lineRule="exact"/>
        <w:ind w:right="98"/>
        <w:jc w:val="left"/>
        <w:rPr>
          <w:rStyle w:val="36"/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4B588639">
      <w:pPr>
        <w:spacing w:line="420" w:lineRule="exact"/>
        <w:ind w:right="98"/>
        <w:jc w:val="left"/>
        <w:rPr>
          <w:rStyle w:val="36"/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12874CED">
      <w:pPr>
        <w:spacing w:line="420" w:lineRule="exact"/>
        <w:ind w:right="98" w:firstLine="5100" w:firstLineChars="1700"/>
        <w:jc w:val="left"/>
        <w:rPr>
          <w:rStyle w:val="36"/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Style w:val="36"/>
          <w:rFonts w:hint="eastAsia" w:asciiTheme="minorEastAsia" w:hAnsiTheme="minorEastAsia" w:eastAsiaTheme="minorEastAsia" w:cstheme="minorEastAsia"/>
          <w:sz w:val="30"/>
          <w:szCs w:val="30"/>
        </w:rPr>
        <w:t>桂林市中西医结合医院</w:t>
      </w:r>
    </w:p>
    <w:p w14:paraId="2E536B86">
      <w:pPr>
        <w:spacing w:line="420" w:lineRule="exact"/>
        <w:ind w:right="98" w:firstLine="5400" w:firstLineChars="1800"/>
        <w:jc w:val="left"/>
        <w:rPr>
          <w:rFonts w:hint="eastAsia" w:asciiTheme="minorEastAsia" w:hAnsiTheme="minorEastAsia" w:eastAsiaTheme="minorEastAsia" w:cstheme="minorEastAsia"/>
          <w:b/>
          <w:bCs/>
          <w:kern w:val="2"/>
          <w:sz w:val="30"/>
          <w:szCs w:val="30"/>
          <w:lang w:val="en-US" w:eastAsia="zh-CN" w:bidi="ar-SA"/>
        </w:rPr>
      </w:pPr>
      <w:r>
        <w:rPr>
          <w:rStyle w:val="36"/>
          <w:rFonts w:hint="eastAsia" w:asciiTheme="minorEastAsia" w:hAnsiTheme="minorEastAsia" w:eastAsiaTheme="minorEastAsia" w:cstheme="minorEastAsia"/>
          <w:sz w:val="30"/>
          <w:szCs w:val="30"/>
        </w:rPr>
        <w:t>202</w:t>
      </w:r>
      <w:r>
        <w:rPr>
          <w:rStyle w:val="36"/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6</w:t>
      </w:r>
      <w:r>
        <w:rPr>
          <w:rStyle w:val="36"/>
          <w:rFonts w:hint="eastAsia" w:asciiTheme="minorEastAsia" w:hAnsiTheme="minorEastAsia" w:eastAsiaTheme="minorEastAsia" w:cstheme="minorEastAsia"/>
          <w:sz w:val="30"/>
          <w:szCs w:val="30"/>
        </w:rPr>
        <w:t>年</w:t>
      </w:r>
      <w:r>
        <w:rPr>
          <w:rStyle w:val="36"/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9</w:t>
      </w:r>
      <w:r>
        <w:rPr>
          <w:rStyle w:val="36"/>
          <w:rFonts w:hint="eastAsia" w:asciiTheme="minorEastAsia" w:hAnsiTheme="minorEastAsia" w:eastAsiaTheme="minorEastAsia" w:cstheme="minorEastAsia"/>
          <w:sz w:val="30"/>
          <w:szCs w:val="30"/>
        </w:rPr>
        <w:t>月</w:t>
      </w:r>
      <w:r>
        <w:rPr>
          <w:rStyle w:val="36"/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15</w:t>
      </w:r>
      <w:r>
        <w:rPr>
          <w:rStyle w:val="36"/>
          <w:rFonts w:hint="eastAsia" w:asciiTheme="minorEastAsia" w:hAnsiTheme="minorEastAsia" w:eastAsiaTheme="minorEastAsia" w:cstheme="minorEastAsia"/>
          <w:sz w:val="30"/>
          <w:szCs w:val="30"/>
        </w:rPr>
        <w:t>日</w:t>
      </w:r>
    </w:p>
    <w:p w14:paraId="53D3838B">
      <w:pPr>
        <w:jc w:val="left"/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30"/>
          <w:szCs w:val="30"/>
          <w:lang w:val="en-US" w:eastAsia="zh-CN" w:bidi="ar-SA"/>
        </w:rPr>
        <w:t>附件1：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医院外勤人员岗位配置需求表</w:t>
      </w:r>
    </w:p>
    <w:tbl>
      <w:tblPr>
        <w:tblStyle w:val="18"/>
        <w:tblW w:w="0" w:type="auto"/>
        <w:tblInd w:w="-2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"/>
        <w:gridCol w:w="1664"/>
        <w:gridCol w:w="3195"/>
        <w:gridCol w:w="2250"/>
        <w:gridCol w:w="1395"/>
        <w:gridCol w:w="990"/>
      </w:tblGrid>
      <w:tr w14:paraId="037FD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484" w:type="dxa"/>
            <w:noWrap w:val="0"/>
            <w:vAlign w:val="center"/>
          </w:tcPr>
          <w:p w14:paraId="45C36151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序号</w:t>
            </w:r>
          </w:p>
        </w:tc>
        <w:tc>
          <w:tcPr>
            <w:tcW w:w="1664" w:type="dxa"/>
            <w:noWrap w:val="0"/>
            <w:vAlign w:val="center"/>
          </w:tcPr>
          <w:p w14:paraId="35583695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岗位设置</w:t>
            </w:r>
          </w:p>
        </w:tc>
        <w:tc>
          <w:tcPr>
            <w:tcW w:w="3195" w:type="dxa"/>
            <w:noWrap w:val="0"/>
            <w:vAlign w:val="center"/>
          </w:tcPr>
          <w:p w14:paraId="1D650307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工作范围</w:t>
            </w:r>
          </w:p>
        </w:tc>
        <w:tc>
          <w:tcPr>
            <w:tcW w:w="2250" w:type="dxa"/>
            <w:noWrap w:val="0"/>
            <w:vAlign w:val="center"/>
          </w:tcPr>
          <w:p w14:paraId="0D6B23C3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备注</w:t>
            </w:r>
          </w:p>
        </w:tc>
        <w:tc>
          <w:tcPr>
            <w:tcW w:w="1395" w:type="dxa"/>
            <w:noWrap w:val="0"/>
            <w:vAlign w:val="center"/>
          </w:tcPr>
          <w:p w14:paraId="66208738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30"/>
                <w:szCs w:val="30"/>
                <w:lang w:val="en-US" w:eastAsia="zh-CN" w:bidi="ar"/>
              </w:rPr>
              <w:t>拟定岗位人数</w:t>
            </w:r>
          </w:p>
        </w:tc>
        <w:tc>
          <w:tcPr>
            <w:tcW w:w="990" w:type="dxa"/>
            <w:noWrap w:val="0"/>
            <w:vAlign w:val="center"/>
          </w:tcPr>
          <w:p w14:paraId="7146B02B">
            <w:pPr>
              <w:widowControl/>
              <w:spacing w:line="40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/>
                <w:bCs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30"/>
                <w:szCs w:val="30"/>
                <w:lang w:val="en-US" w:eastAsia="zh-CN" w:bidi="ar"/>
              </w:rPr>
              <w:t>备注</w:t>
            </w:r>
          </w:p>
        </w:tc>
      </w:tr>
      <w:tr w14:paraId="4BA16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4" w:type="dxa"/>
            <w:noWrap w:val="0"/>
            <w:vAlign w:val="center"/>
          </w:tcPr>
          <w:p w14:paraId="5F38E6B2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  <w:tc>
          <w:tcPr>
            <w:tcW w:w="1664" w:type="dxa"/>
            <w:noWrap w:val="0"/>
            <w:vAlign w:val="center"/>
          </w:tcPr>
          <w:p w14:paraId="177BBE9F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0"/>
                <w:szCs w:val="30"/>
                <w:lang w:bidi="ar"/>
              </w:rPr>
              <w:t>主管</w:t>
            </w:r>
          </w:p>
        </w:tc>
        <w:tc>
          <w:tcPr>
            <w:tcW w:w="3195" w:type="dxa"/>
            <w:noWrap w:val="0"/>
            <w:vAlign w:val="center"/>
          </w:tcPr>
          <w:p w14:paraId="22A53959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0"/>
                <w:szCs w:val="30"/>
                <w:lang w:bidi="ar"/>
              </w:rPr>
              <w:t>全面负责医院外勤送检的管理及监督工作</w:t>
            </w:r>
          </w:p>
        </w:tc>
        <w:tc>
          <w:tcPr>
            <w:tcW w:w="2250" w:type="dxa"/>
            <w:noWrap w:val="0"/>
            <w:vAlign w:val="center"/>
          </w:tcPr>
          <w:p w14:paraId="244605FF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30"/>
                <w:szCs w:val="30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0BD45312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990" w:type="dxa"/>
            <w:noWrap w:val="0"/>
            <w:vAlign w:val="center"/>
          </w:tcPr>
          <w:p w14:paraId="4914E042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30"/>
                <w:szCs w:val="30"/>
                <w:lang w:val="en-US" w:eastAsia="zh-CN"/>
              </w:rPr>
            </w:pPr>
          </w:p>
        </w:tc>
      </w:tr>
      <w:tr w14:paraId="6E51D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4" w:type="dxa"/>
            <w:noWrap w:val="0"/>
            <w:vAlign w:val="center"/>
          </w:tcPr>
          <w:p w14:paraId="7261E80D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0"/>
                <w:szCs w:val="30"/>
                <w:lang w:bidi="ar"/>
              </w:rPr>
              <w:t>2</w:t>
            </w:r>
          </w:p>
        </w:tc>
        <w:tc>
          <w:tcPr>
            <w:tcW w:w="1664" w:type="dxa"/>
            <w:noWrap w:val="0"/>
            <w:vAlign w:val="center"/>
          </w:tcPr>
          <w:p w14:paraId="5AA60515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0"/>
                <w:szCs w:val="30"/>
                <w:lang w:bidi="ar"/>
              </w:rPr>
              <w:t>调度</w:t>
            </w:r>
          </w:p>
        </w:tc>
        <w:tc>
          <w:tcPr>
            <w:tcW w:w="3195" w:type="dxa"/>
            <w:noWrap w:val="0"/>
            <w:vAlign w:val="center"/>
          </w:tcPr>
          <w:p w14:paraId="5C20D6FC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0"/>
                <w:szCs w:val="30"/>
                <w:lang w:bidi="ar"/>
              </w:rPr>
              <w:t>全面负责医院送检工作的协调及调度</w:t>
            </w:r>
          </w:p>
        </w:tc>
        <w:tc>
          <w:tcPr>
            <w:tcW w:w="2250" w:type="dxa"/>
            <w:noWrap w:val="0"/>
            <w:vAlign w:val="center"/>
          </w:tcPr>
          <w:p w14:paraId="4FFAC66E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30"/>
                <w:szCs w:val="30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782568BF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990" w:type="dxa"/>
            <w:noWrap w:val="0"/>
            <w:vAlign w:val="center"/>
          </w:tcPr>
          <w:p w14:paraId="6361D459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30"/>
                <w:szCs w:val="30"/>
              </w:rPr>
            </w:pPr>
          </w:p>
        </w:tc>
      </w:tr>
      <w:tr w14:paraId="2722B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4" w:type="dxa"/>
            <w:noWrap w:val="0"/>
            <w:vAlign w:val="center"/>
          </w:tcPr>
          <w:p w14:paraId="611E9E52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0"/>
                <w:szCs w:val="30"/>
                <w:lang w:bidi="ar"/>
              </w:rPr>
              <w:t>3</w:t>
            </w:r>
          </w:p>
        </w:tc>
        <w:tc>
          <w:tcPr>
            <w:tcW w:w="1664" w:type="dxa"/>
            <w:noWrap w:val="0"/>
            <w:vAlign w:val="center"/>
          </w:tcPr>
          <w:p w14:paraId="550B91BD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0"/>
                <w:szCs w:val="30"/>
                <w:lang w:bidi="ar"/>
              </w:rPr>
              <w:t>临床送检</w:t>
            </w:r>
          </w:p>
          <w:p w14:paraId="7725D086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0"/>
                <w:szCs w:val="30"/>
                <w:lang w:bidi="ar"/>
              </w:rPr>
              <w:t>人员</w:t>
            </w:r>
          </w:p>
        </w:tc>
        <w:tc>
          <w:tcPr>
            <w:tcW w:w="3195" w:type="dxa"/>
            <w:noWrap w:val="0"/>
            <w:vAlign w:val="center"/>
          </w:tcPr>
          <w:p w14:paraId="2FBC20CA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0"/>
                <w:szCs w:val="30"/>
                <w:lang w:bidi="ar"/>
              </w:rPr>
              <w:t>24小时负责全院病患陪检、标本运送工作</w:t>
            </w:r>
          </w:p>
        </w:tc>
        <w:tc>
          <w:tcPr>
            <w:tcW w:w="2250" w:type="dxa"/>
            <w:noWrap w:val="0"/>
            <w:vAlign w:val="center"/>
          </w:tcPr>
          <w:p w14:paraId="68E642F9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0"/>
                <w:szCs w:val="30"/>
                <w:lang w:val="en-US" w:eastAsia="zh-CN" w:bidi="ar"/>
              </w:rPr>
              <w:t>其中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0"/>
                <w:szCs w:val="30"/>
                <w:lang w:bidi="ar"/>
              </w:rPr>
              <w:t>急诊科、采血室各设一名专职送检员</w:t>
            </w:r>
          </w:p>
        </w:tc>
        <w:tc>
          <w:tcPr>
            <w:tcW w:w="1395" w:type="dxa"/>
            <w:noWrap w:val="0"/>
            <w:vAlign w:val="center"/>
          </w:tcPr>
          <w:p w14:paraId="4555CFC8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0"/>
                <w:szCs w:val="30"/>
                <w:lang w:val="en-US" w:eastAsia="zh-CN" w:bidi="ar"/>
              </w:rPr>
              <w:t>12</w:t>
            </w:r>
          </w:p>
        </w:tc>
        <w:tc>
          <w:tcPr>
            <w:tcW w:w="990" w:type="dxa"/>
            <w:noWrap w:val="0"/>
            <w:vAlign w:val="center"/>
          </w:tcPr>
          <w:p w14:paraId="4E0101EB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0"/>
                <w:szCs w:val="30"/>
                <w:lang w:val="en-US" w:eastAsia="zh-CN" w:bidi="ar"/>
              </w:rPr>
            </w:pPr>
          </w:p>
        </w:tc>
      </w:tr>
      <w:tr w14:paraId="749CB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4" w:type="dxa"/>
            <w:noWrap w:val="0"/>
            <w:vAlign w:val="center"/>
          </w:tcPr>
          <w:p w14:paraId="1AEA2FB0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0"/>
                <w:szCs w:val="30"/>
                <w:lang w:bidi="ar"/>
              </w:rPr>
              <w:t>4</w:t>
            </w:r>
          </w:p>
        </w:tc>
        <w:tc>
          <w:tcPr>
            <w:tcW w:w="1664" w:type="dxa"/>
            <w:noWrap w:val="0"/>
            <w:vAlign w:val="center"/>
          </w:tcPr>
          <w:p w14:paraId="0B40D0E3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0"/>
                <w:szCs w:val="30"/>
                <w:lang w:bidi="ar"/>
              </w:rPr>
              <w:t>药库配送</w:t>
            </w:r>
          </w:p>
        </w:tc>
        <w:tc>
          <w:tcPr>
            <w:tcW w:w="3195" w:type="dxa"/>
            <w:noWrap w:val="0"/>
            <w:vAlign w:val="center"/>
          </w:tcPr>
          <w:p w14:paraId="206F2823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0"/>
                <w:szCs w:val="30"/>
                <w:lang w:bidi="ar"/>
              </w:rPr>
              <w:t>负责卫材、药品及大型输液的运送工作</w:t>
            </w:r>
          </w:p>
        </w:tc>
        <w:tc>
          <w:tcPr>
            <w:tcW w:w="2250" w:type="dxa"/>
            <w:noWrap w:val="0"/>
            <w:vAlign w:val="center"/>
          </w:tcPr>
          <w:p w14:paraId="6914E9B0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0"/>
                <w:szCs w:val="30"/>
                <w:lang w:bidi="ar"/>
              </w:rPr>
              <w:t>专职</w:t>
            </w:r>
          </w:p>
        </w:tc>
        <w:tc>
          <w:tcPr>
            <w:tcW w:w="1395" w:type="dxa"/>
            <w:noWrap w:val="0"/>
            <w:vAlign w:val="center"/>
          </w:tcPr>
          <w:p w14:paraId="6FDB5ADA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0"/>
                <w:szCs w:val="30"/>
                <w:lang w:val="en-US" w:eastAsia="zh-CN" w:bidi="ar"/>
              </w:rPr>
              <w:t>2</w:t>
            </w:r>
          </w:p>
        </w:tc>
        <w:tc>
          <w:tcPr>
            <w:tcW w:w="990" w:type="dxa"/>
            <w:noWrap w:val="0"/>
            <w:vAlign w:val="center"/>
          </w:tcPr>
          <w:p w14:paraId="025349C8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0"/>
                <w:szCs w:val="30"/>
                <w:lang w:val="en-US" w:eastAsia="zh-CN" w:bidi="ar"/>
              </w:rPr>
            </w:pPr>
          </w:p>
        </w:tc>
      </w:tr>
      <w:tr w14:paraId="12484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4" w:type="dxa"/>
            <w:noWrap w:val="0"/>
            <w:vAlign w:val="center"/>
          </w:tcPr>
          <w:p w14:paraId="2C9B6C94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664" w:type="dxa"/>
            <w:noWrap w:val="0"/>
            <w:vAlign w:val="center"/>
          </w:tcPr>
          <w:p w14:paraId="398C412E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3195" w:type="dxa"/>
            <w:noWrap w:val="0"/>
            <w:vAlign w:val="center"/>
          </w:tcPr>
          <w:p w14:paraId="71DC8963">
            <w:pPr>
              <w:widowControl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0"/>
                <w:szCs w:val="30"/>
                <w:lang w:val="en-US" w:eastAsia="zh-CN" w:bidi="ar"/>
              </w:rPr>
              <w:t>合计</w:t>
            </w:r>
          </w:p>
        </w:tc>
        <w:tc>
          <w:tcPr>
            <w:tcW w:w="2250" w:type="dxa"/>
            <w:noWrap w:val="0"/>
            <w:vAlign w:val="center"/>
          </w:tcPr>
          <w:p w14:paraId="341C4B90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30"/>
                <w:szCs w:val="30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1DF33F22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kern w:val="0"/>
                <w:sz w:val="30"/>
                <w:szCs w:val="30"/>
                <w:lang w:val="en-US" w:eastAsia="zh-CN"/>
              </w:rPr>
              <w:t>16</w:t>
            </w:r>
          </w:p>
        </w:tc>
        <w:tc>
          <w:tcPr>
            <w:tcW w:w="990" w:type="dxa"/>
            <w:noWrap w:val="0"/>
            <w:vAlign w:val="center"/>
          </w:tcPr>
          <w:p w14:paraId="32F6A99A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 w:val="30"/>
                <w:szCs w:val="30"/>
              </w:rPr>
            </w:pPr>
          </w:p>
        </w:tc>
      </w:tr>
      <w:tr w14:paraId="108E4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978" w:type="dxa"/>
            <w:gridSpan w:val="6"/>
            <w:noWrap w:val="0"/>
            <w:vAlign w:val="center"/>
          </w:tcPr>
          <w:p w14:paraId="0C7E6223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bookmarkStart w:id="3" w:name="_GoBack"/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人员配置要求：</w:t>
            </w:r>
          </w:p>
          <w:p w14:paraId="6A54CC8D">
            <w:pPr>
              <w:numPr>
                <w:ilvl w:val="0"/>
                <w:numId w:val="4"/>
              </w:numPr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学历：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具有初中及以上学历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 w:bidi="ar"/>
              </w:rPr>
              <w:t>；</w:t>
            </w:r>
          </w:p>
          <w:p w14:paraId="14579DCA">
            <w:pPr>
              <w:spacing w:line="400" w:lineRule="exact"/>
              <w:jc w:val="left"/>
              <w:rPr>
                <w:rFonts w:hint="eastAsia" w:asciiTheme="minorEastAsia" w:hAnsiTheme="minorEastAsia" w:eastAsiaTheme="minorEastAsia" w:cstheme="minorEastAsia"/>
                <w:b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年龄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 w:bidi="ar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身体健康，男工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 w:bidi="ar"/>
              </w:rPr>
              <w:t>最高年龄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不超过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60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周岁，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女工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 w:bidi="ar"/>
              </w:rPr>
              <w:t>最高年龄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不超过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55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周岁，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其中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年龄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≤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50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周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岁及以下的人员配置不低于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人。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 </w:t>
            </w:r>
            <w:bookmarkEnd w:id="3"/>
          </w:p>
        </w:tc>
      </w:tr>
    </w:tbl>
    <w:p w14:paraId="1C155FC8">
      <w:pPr>
        <w:spacing w:before="156" w:beforeLines="50" w:after="156" w:afterLines="50" w:line="360" w:lineRule="auto"/>
        <w:jc w:val="both"/>
        <w:rPr>
          <w:rFonts w:hint="eastAsia" w:ascii="Arial" w:hAnsi="Arial" w:cs="Arial"/>
          <w:b/>
          <w:color w:val="auto"/>
          <w:sz w:val="28"/>
          <w:szCs w:val="28"/>
          <w:highlight w:val="none"/>
          <w:lang w:val="en-US" w:eastAsia="zh-CN"/>
        </w:rPr>
      </w:pPr>
    </w:p>
    <w:p w14:paraId="05FFEA2F">
      <w:pPr>
        <w:spacing w:before="156" w:beforeLines="50" w:after="156" w:afterLines="50" w:line="360" w:lineRule="auto"/>
        <w:jc w:val="both"/>
        <w:rPr>
          <w:rFonts w:hint="eastAsia" w:ascii="Arial" w:hAnsi="Arial" w:cs="Arial"/>
          <w:b/>
          <w:color w:val="auto"/>
          <w:sz w:val="28"/>
          <w:szCs w:val="28"/>
          <w:highlight w:val="none"/>
          <w:lang w:val="en-US" w:eastAsia="zh-CN"/>
        </w:rPr>
      </w:pPr>
    </w:p>
    <w:p w14:paraId="5F60673D">
      <w:pPr>
        <w:spacing w:before="156" w:beforeLines="50" w:after="156" w:afterLines="50" w:line="360" w:lineRule="auto"/>
        <w:jc w:val="both"/>
        <w:rPr>
          <w:rFonts w:hint="eastAsia" w:ascii="Arial" w:hAnsi="Arial" w:eastAsia="宋体" w:cs="Arial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Arial" w:hAnsi="Arial" w:cs="Arial"/>
          <w:b/>
          <w:color w:val="auto"/>
          <w:sz w:val="28"/>
          <w:szCs w:val="28"/>
          <w:highlight w:val="none"/>
          <w:lang w:val="en-US" w:eastAsia="zh-CN"/>
        </w:rPr>
        <w:t>附件2：</w:t>
      </w:r>
      <w:r>
        <w:rPr>
          <w:rFonts w:hint="eastAsia" w:ascii="Arial" w:hAnsi="Arial" w:cs="Arial"/>
          <w:b/>
          <w:color w:val="auto"/>
          <w:sz w:val="28"/>
          <w:szCs w:val="28"/>
          <w:highlight w:val="none"/>
        </w:rPr>
        <w:t>报价</w:t>
      </w:r>
      <w:r>
        <w:rPr>
          <w:rFonts w:hint="eastAsia" w:ascii="Arial" w:hAnsi="Arial" w:cs="Arial"/>
          <w:b/>
          <w:color w:val="auto"/>
          <w:sz w:val="28"/>
          <w:szCs w:val="28"/>
          <w:highlight w:val="none"/>
          <w:lang w:val="en-US" w:eastAsia="zh-CN"/>
        </w:rPr>
        <w:t>单</w:t>
      </w:r>
    </w:p>
    <w:p w14:paraId="0D25AA60">
      <w:pPr>
        <w:ind w:firstLine="2415" w:firstLineChars="1150"/>
        <w:rPr>
          <w:rFonts w:ascii="Arial" w:hAnsi="Arial" w:cs="Arial"/>
          <w:color w:val="auto"/>
          <w:szCs w:val="21"/>
          <w:highlight w:val="none"/>
        </w:rPr>
      </w:pPr>
      <w:r>
        <w:rPr>
          <w:rFonts w:ascii="Arial" w:hAnsi="Arial" w:cs="Arial"/>
          <w:color w:val="auto"/>
          <w:szCs w:val="21"/>
          <w:highlight w:val="none"/>
        </w:rPr>
        <w:t xml:space="preserve">                           </w:t>
      </w:r>
      <w:r>
        <w:rPr>
          <w:rFonts w:hint="eastAsia" w:ascii="Arial" w:hAnsi="Arial" w:cs="Arial"/>
          <w:color w:val="auto"/>
          <w:szCs w:val="21"/>
          <w:highlight w:val="none"/>
        </w:rPr>
        <w:t xml:space="preserve">       </w:t>
      </w:r>
      <w:r>
        <w:rPr>
          <w:rFonts w:ascii="Arial" w:hAnsi="Arial" w:cs="Arial"/>
          <w:color w:val="auto"/>
          <w:szCs w:val="21"/>
          <w:highlight w:val="none"/>
        </w:rPr>
        <w:t xml:space="preserve"> </w:t>
      </w:r>
      <w:r>
        <w:rPr>
          <w:rFonts w:hint="eastAsia" w:ascii="Arial" w:hAnsi="Arial" w:cs="Arial"/>
          <w:color w:val="auto"/>
          <w:szCs w:val="21"/>
          <w:highlight w:val="none"/>
        </w:rPr>
        <w:t xml:space="preserve">       金额单位：人民币（元）</w:t>
      </w:r>
    </w:p>
    <w:tbl>
      <w:tblPr>
        <w:tblStyle w:val="18"/>
        <w:tblW w:w="9604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08"/>
        <w:gridCol w:w="1012"/>
        <w:gridCol w:w="1416"/>
        <w:gridCol w:w="3368"/>
      </w:tblGrid>
      <w:tr w14:paraId="56811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" w:hRule="atLeast"/>
          <w:jc w:val="right"/>
        </w:trPr>
        <w:tc>
          <w:tcPr>
            <w:tcW w:w="3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DCB89">
            <w:pPr>
              <w:spacing w:line="360" w:lineRule="auto"/>
              <w:contextualSpacing/>
              <w:jc w:val="center"/>
              <w:rPr>
                <w:rFonts w:ascii="宋体" w:hAnsi="宋体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ascii="宋体" w:hAnsi="宋体" w:cs="仿宋_GB2312"/>
                <w:b/>
                <w:color w:val="auto"/>
                <w:szCs w:val="21"/>
                <w:highlight w:val="none"/>
              </w:rPr>
              <w:t>服务名称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FBFF9">
            <w:pPr>
              <w:spacing w:line="360" w:lineRule="auto"/>
              <w:contextualSpacing/>
              <w:jc w:val="center"/>
              <w:rPr>
                <w:rFonts w:ascii="宋体" w:hAnsi="宋体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b/>
                <w:color w:val="auto"/>
                <w:szCs w:val="21"/>
                <w:highlight w:val="none"/>
              </w:rPr>
              <w:t>数量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16030">
            <w:pPr>
              <w:spacing w:line="360" w:lineRule="auto"/>
              <w:contextualSpacing/>
              <w:jc w:val="center"/>
              <w:rPr>
                <w:rFonts w:ascii="宋体" w:hAnsi="宋体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b/>
                <w:color w:val="auto"/>
                <w:szCs w:val="21"/>
                <w:highlight w:val="none"/>
              </w:rPr>
              <w:t>单位</w:t>
            </w:r>
          </w:p>
        </w:tc>
        <w:tc>
          <w:tcPr>
            <w:tcW w:w="3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0F820">
            <w:pPr>
              <w:spacing w:line="360" w:lineRule="auto"/>
              <w:contextualSpacing/>
              <w:jc w:val="center"/>
              <w:rPr>
                <w:rFonts w:ascii="宋体" w:hAnsi="宋体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ascii="宋体" w:hAnsi="宋体" w:cs="仿宋_GB2312"/>
                <w:b/>
                <w:color w:val="auto"/>
                <w:szCs w:val="21"/>
                <w:highlight w:val="none"/>
              </w:rPr>
              <w:t>备注</w:t>
            </w:r>
          </w:p>
        </w:tc>
      </w:tr>
      <w:tr w14:paraId="52859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4" w:hRule="atLeast"/>
          <w:jc w:val="right"/>
        </w:trPr>
        <w:tc>
          <w:tcPr>
            <w:tcW w:w="3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18D29">
            <w:pPr>
              <w:spacing w:line="360" w:lineRule="auto"/>
              <w:contextualSpacing/>
              <w:jc w:val="center"/>
              <w:rPr>
                <w:rFonts w:hint="eastAsia" w:ascii="宋体" w:hAnsi="宋体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桂林市中西医结合医院外勤服务采购项目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1D173">
            <w:pPr>
              <w:spacing w:line="360" w:lineRule="auto"/>
              <w:contextualSpacing/>
              <w:jc w:val="center"/>
              <w:rPr>
                <w:rFonts w:ascii="宋体" w:hAnsi="宋体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ECDA0">
            <w:pPr>
              <w:spacing w:line="360" w:lineRule="auto"/>
              <w:contextualSpacing/>
              <w:jc w:val="center"/>
              <w:rPr>
                <w:rFonts w:ascii="宋体" w:hAnsi="宋体" w:cs="仿宋_GB2312"/>
                <w:color w:val="auto"/>
                <w:szCs w:val="21"/>
                <w:highlight w:val="none"/>
              </w:rPr>
            </w:pPr>
            <w:r>
              <w:rPr>
                <w:rFonts w:ascii="宋体" w:hAnsi="宋体" w:cs="仿宋_GB2312"/>
                <w:color w:val="auto"/>
                <w:szCs w:val="21"/>
                <w:highlight w:val="none"/>
              </w:rPr>
              <w:t>项</w:t>
            </w:r>
          </w:p>
        </w:tc>
        <w:tc>
          <w:tcPr>
            <w:tcW w:w="3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0CB7D7">
            <w:pPr>
              <w:spacing w:line="600" w:lineRule="exact"/>
              <w:contextualSpacing/>
              <w:jc w:val="center"/>
              <w:rPr>
                <w:rFonts w:ascii="宋体" w:hAnsi="宋体" w:cs="仿宋_GB2312"/>
                <w:color w:val="auto"/>
                <w:szCs w:val="21"/>
                <w:highlight w:val="none"/>
              </w:rPr>
            </w:pPr>
          </w:p>
        </w:tc>
      </w:tr>
      <w:tr w14:paraId="531D3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0" w:hRule="atLeast"/>
          <w:jc w:val="right"/>
        </w:trPr>
        <w:tc>
          <w:tcPr>
            <w:tcW w:w="96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808F7">
            <w:pPr>
              <w:spacing w:line="360" w:lineRule="auto"/>
              <w:contextualSpacing/>
              <w:jc w:val="left"/>
              <w:rPr>
                <w:rFonts w:hint="eastAsia" w:ascii="宋体" w:hAnsi="宋体" w:cs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b/>
                <w:color w:val="auto"/>
                <w:szCs w:val="21"/>
                <w:highlight w:val="none"/>
              </w:rPr>
              <w:t>总报价：</w:t>
            </w:r>
            <w:r>
              <w:rPr>
                <w:rFonts w:hint="eastAsia" w:ascii="宋体" w:hAnsi="宋体" w:cs="宋体"/>
                <w:b/>
                <w:color w:val="auto"/>
                <w:szCs w:val="21"/>
                <w:highlight w:val="none"/>
              </w:rPr>
              <w:t>大写：</w:t>
            </w:r>
            <w:r>
              <w:rPr>
                <w:rFonts w:hint="eastAsia" w:ascii="宋体" w:hAnsi="宋体" w:cs="宋体"/>
                <w:b/>
                <w:color w:val="auto"/>
                <w:szCs w:val="21"/>
                <w:highlight w:val="none"/>
                <w:u w:val="single"/>
              </w:rPr>
              <w:t xml:space="preserve">                      </w:t>
            </w:r>
            <w:r>
              <w:rPr>
                <w:rFonts w:hint="eastAsia" w:ascii="宋体" w:hAnsi="宋体" w:cs="宋体"/>
                <w:b/>
                <w:color w:val="auto"/>
                <w:szCs w:val="21"/>
                <w:highlight w:val="none"/>
              </w:rPr>
              <w:t xml:space="preserve">（¥ </w:t>
            </w:r>
            <w:r>
              <w:rPr>
                <w:rFonts w:hint="eastAsia" w:ascii="宋体" w:hAnsi="宋体" w:cs="宋体"/>
                <w:b/>
                <w:color w:val="auto"/>
                <w:szCs w:val="21"/>
                <w:highlight w:val="none"/>
                <w:u w:val="single"/>
              </w:rPr>
              <w:t xml:space="preserve">           </w:t>
            </w:r>
            <w:r>
              <w:rPr>
                <w:rFonts w:hint="eastAsia" w:ascii="宋体" w:hAnsi="宋体" w:cs="宋体"/>
                <w:b/>
                <w:color w:val="auto"/>
                <w:szCs w:val="21"/>
                <w:highlight w:val="none"/>
              </w:rPr>
              <w:t>元</w:t>
            </w:r>
            <w:r>
              <w:rPr>
                <w:rFonts w:hint="eastAsia" w:ascii="宋体" w:hAnsi="宋体" w:cs="宋体"/>
                <w:b/>
                <w:color w:val="auto"/>
                <w:szCs w:val="21"/>
                <w:highlight w:val="none"/>
                <w:lang w:val="en-US" w:eastAsia="zh-CN"/>
              </w:rPr>
              <w:t>/年</w:t>
            </w:r>
            <w:r>
              <w:rPr>
                <w:rFonts w:hint="eastAsia" w:ascii="宋体" w:hAnsi="宋体" w:cs="宋体"/>
                <w:b/>
                <w:color w:val="auto"/>
                <w:szCs w:val="21"/>
                <w:highlight w:val="none"/>
              </w:rPr>
              <w:t>）</w:t>
            </w:r>
          </w:p>
          <w:p w14:paraId="0147E0C1">
            <w:pPr>
              <w:spacing w:line="360" w:lineRule="auto"/>
              <w:contextualSpacing/>
              <w:jc w:val="left"/>
              <w:rPr>
                <w:rFonts w:ascii="宋体" w:hAnsi="宋体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szCs w:val="21"/>
                <w:highlight w:val="none"/>
              </w:rPr>
              <w:t>其中，</w:t>
            </w:r>
            <w:r>
              <w:rPr>
                <w:rFonts w:hint="eastAsia" w:ascii="宋体" w:hAnsi="宋体"/>
                <w:b/>
                <w:color w:val="auto"/>
                <w:highlight w:val="none"/>
              </w:rPr>
              <w:t>每名项目实施人员每月综合服务费报价：</w:t>
            </w:r>
            <w:r>
              <w:rPr>
                <w:rFonts w:hint="eastAsia" w:ascii="宋体" w:hAnsi="宋体"/>
                <w:b/>
                <w:color w:val="auto"/>
                <w:highlight w:val="none"/>
                <w:u w:val="single"/>
              </w:rPr>
              <w:t xml:space="preserve">              </w:t>
            </w:r>
            <w:r>
              <w:rPr>
                <w:rFonts w:hint="eastAsia" w:ascii="宋体" w:hAnsi="宋体"/>
                <w:b/>
                <w:color w:val="auto"/>
                <w:highlight w:val="none"/>
              </w:rPr>
              <w:t>元/人/月</w:t>
            </w:r>
          </w:p>
        </w:tc>
      </w:tr>
      <w:tr w14:paraId="4882E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6" w:hRule="atLeast"/>
          <w:jc w:val="right"/>
        </w:trPr>
        <w:tc>
          <w:tcPr>
            <w:tcW w:w="96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88764">
            <w:pPr>
              <w:spacing w:line="400" w:lineRule="exact"/>
              <w:contextualSpacing/>
              <w:jc w:val="left"/>
              <w:rPr>
                <w:rFonts w:hint="eastAsia" w:ascii="宋体" w:hAnsi="宋体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仿宋_GB2312"/>
                <w:color w:val="auto"/>
                <w:szCs w:val="21"/>
                <w:highlight w:val="none"/>
              </w:rPr>
              <w:t>说明：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报价应包括本次采购范围内的全部服务价款、包括但不限于</w:t>
            </w:r>
            <w:r>
              <w:rPr>
                <w:rFonts w:hint="eastAsia" w:ascii="宋体" w:hAnsi="宋体" w:cs="仿宋"/>
                <w:color w:val="auto"/>
                <w:szCs w:val="21"/>
                <w:highlight w:val="none"/>
              </w:rPr>
              <w:t>派驻所有人员费用（含工资、加班费、社保费、劳保及普通防护用品、意外伤害保险、福利等）、办公费用（含通讯费、办公用品、培训费、维修费等）、管理费、利润、税费等完成合同所需的一切所有开支、政策性文件规定的合同包含的所有风险、责任等各项费用的总和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，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采购人不再支付中标价以外的其他费用。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供应商应综合考虑在报价中。</w:t>
            </w:r>
          </w:p>
        </w:tc>
      </w:tr>
    </w:tbl>
    <w:p w14:paraId="0D121F31">
      <w:pPr>
        <w:spacing w:line="420" w:lineRule="exact"/>
        <w:ind w:firstLine="602" w:firstLineChars="200"/>
        <w:jc w:val="left"/>
        <w:rPr>
          <w:rStyle w:val="36"/>
          <w:rFonts w:hint="eastAsia" w:asciiTheme="minorEastAsia" w:hAnsiTheme="minorEastAsia" w:eastAsiaTheme="minorEastAsia" w:cstheme="minorEastAsia"/>
          <w:b/>
          <w:bCs w:val="0"/>
          <w:color w:val="000000"/>
          <w:sz w:val="30"/>
          <w:szCs w:val="30"/>
          <w:lang w:val="en-US" w:eastAsia="zh-CN"/>
        </w:rPr>
      </w:pPr>
    </w:p>
    <w:p w14:paraId="2B8A2A2A">
      <w:pPr>
        <w:spacing w:line="420" w:lineRule="exact"/>
        <w:ind w:firstLine="602" w:firstLineChars="200"/>
        <w:jc w:val="left"/>
        <w:rPr>
          <w:rStyle w:val="36"/>
          <w:rFonts w:hint="eastAsia" w:asciiTheme="minorEastAsia" w:hAnsiTheme="minorEastAsia" w:eastAsiaTheme="minorEastAsia" w:cstheme="minorEastAsia"/>
          <w:b/>
          <w:bCs w:val="0"/>
          <w:color w:val="000000"/>
          <w:sz w:val="30"/>
          <w:szCs w:val="30"/>
          <w:lang w:val="en-US" w:eastAsia="zh-CN"/>
        </w:rPr>
      </w:pPr>
    </w:p>
    <w:bookmarkEnd w:id="0"/>
    <w:bookmarkEnd w:id="1"/>
    <w:bookmarkEnd w:id="2"/>
    <w:p w14:paraId="3309C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 w:val="0"/>
        <w:snapToGrid w:val="0"/>
        <w:spacing w:line="52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pacing w:val="1"/>
          <w:kern w:val="0"/>
          <w:sz w:val="30"/>
          <w:szCs w:val="30"/>
          <w:lang w:val="en-US" w:eastAsia="zh-CN"/>
        </w:rPr>
      </w:pPr>
    </w:p>
    <w:sectPr>
      <w:headerReference r:id="rId4" w:type="first"/>
      <w:footerReference r:id="rId7" w:type="first"/>
      <w:headerReference r:id="rId3" w:type="default"/>
      <w:footerReference r:id="rId5" w:type="default"/>
      <w:footerReference r:id="rId6" w:type="even"/>
      <w:pgSz w:w="11906" w:h="16838"/>
      <w:pgMar w:top="720" w:right="720" w:bottom="720" w:left="72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76BBEC">
    <w:pPr>
      <w:pStyle w:val="14"/>
      <w:jc w:val="center"/>
      <w:rPr>
        <w:rStyle w:val="36"/>
      </w:rPr>
    </w:pPr>
  </w:p>
  <w:p w14:paraId="537B142C">
    <w:pPr>
      <w:pStyle w:val="14"/>
      <w:ind w:right="360"/>
      <w:rPr>
        <w:rStyle w:val="3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D99386">
    <w:pPr>
      <w:pStyle w:val="14"/>
      <w:framePr w:wrap="around" w:vAnchor="margin" w:hAnchor="text" w:xAlign="center" w:y="1"/>
      <w:rPr>
        <w:rStyle w:val="49"/>
      </w:rPr>
    </w:pPr>
  </w:p>
  <w:p w14:paraId="0A55693F">
    <w:pPr>
      <w:pStyle w:val="14"/>
      <w:ind w:right="360"/>
      <w:rPr>
        <w:rStyle w:val="3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38E35">
    <w:pPr>
      <w:pStyle w:val="14"/>
      <w:jc w:val="center"/>
      <w:rPr>
        <w:rStyle w:val="36"/>
        <w:color w:val="FFFFFF"/>
      </w:rPr>
    </w:pPr>
  </w:p>
  <w:p w14:paraId="280F3C61">
    <w:pPr>
      <w:pStyle w:val="14"/>
      <w:rPr>
        <w:rStyle w:val="36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BC784">
    <w:pPr>
      <w:pStyle w:val="15"/>
      <w:pBdr>
        <w:bottom w:val="none" w:color="auto" w:sz="0" w:space="0"/>
      </w:pBdr>
      <w:rPr>
        <w:rStyle w:val="3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9B4F5F">
    <w:pPr>
      <w:pStyle w:val="15"/>
      <w:pBdr>
        <w:bottom w:val="none" w:color="000000" w:sz="0" w:space="1"/>
      </w:pBdr>
      <w:rPr>
        <w:rStyle w:val="3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35A5F5"/>
    <w:multiLevelType w:val="singleLevel"/>
    <w:tmpl w:val="0A35A5F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263036E"/>
    <w:multiLevelType w:val="multilevel"/>
    <w:tmpl w:val="1263036E"/>
    <w:lvl w:ilvl="0" w:tentative="0">
      <w:start w:val="1"/>
      <w:numFmt w:val="japaneseCounting"/>
      <w:lvlText w:val="%1、"/>
      <w:lvlJc w:val="left"/>
      <w:pPr>
        <w:tabs>
          <w:tab w:val="left" w:pos="1280"/>
        </w:tabs>
        <w:ind w:left="1280" w:hanging="720"/>
        <w:textAlignment w:val="baseline"/>
      </w:pPr>
    </w:lvl>
    <w:lvl w:ilvl="1" w:tentative="0">
      <w:start w:val="1"/>
      <w:numFmt w:val="lowerLetter"/>
      <w:lvlText w:val="%1)"/>
      <w:lvlJc w:val="left"/>
      <w:pPr>
        <w:tabs>
          <w:tab w:val="left" w:pos="1400"/>
        </w:tabs>
        <w:ind w:left="1400" w:hanging="420"/>
        <w:textAlignment w:val="baseline"/>
      </w:pPr>
    </w:lvl>
    <w:lvl w:ilvl="2" w:tentative="0">
      <w:start w:val="1"/>
      <w:numFmt w:val="lowerRoman"/>
      <w:pStyle w:val="74"/>
      <w:lvlText w:val="%1."/>
      <w:lvlJc w:val="right"/>
      <w:pPr>
        <w:tabs>
          <w:tab w:val="left" w:pos="1820"/>
        </w:tabs>
        <w:ind w:left="1820" w:hanging="420"/>
        <w:textAlignment w:val="baseline"/>
      </w:pPr>
    </w:lvl>
    <w:lvl w:ilvl="3" w:tentative="0">
      <w:start w:val="1"/>
      <w:numFmt w:val="decimal"/>
      <w:lvlText w:val="%1."/>
      <w:lvlJc w:val="left"/>
      <w:pPr>
        <w:tabs>
          <w:tab w:val="left" w:pos="2240"/>
        </w:tabs>
        <w:ind w:left="2240" w:hanging="420"/>
        <w:textAlignment w:val="baseline"/>
      </w:pPr>
    </w:lvl>
    <w:lvl w:ilvl="4" w:tentative="0">
      <w:start w:val="1"/>
      <w:numFmt w:val="lowerLetter"/>
      <w:lvlText w:val="%1)"/>
      <w:lvlJc w:val="left"/>
      <w:pPr>
        <w:tabs>
          <w:tab w:val="left" w:pos="2660"/>
        </w:tabs>
        <w:ind w:left="2660" w:hanging="420"/>
        <w:textAlignment w:val="baseline"/>
      </w:pPr>
    </w:lvl>
    <w:lvl w:ilvl="5" w:tentative="0">
      <w:start w:val="1"/>
      <w:numFmt w:val="lowerRoman"/>
      <w:lvlText w:val="%1."/>
      <w:lvlJc w:val="right"/>
      <w:pPr>
        <w:tabs>
          <w:tab w:val="left" w:pos="3080"/>
        </w:tabs>
        <w:ind w:left="3080" w:hanging="420"/>
        <w:textAlignment w:val="baseline"/>
      </w:pPr>
    </w:lvl>
    <w:lvl w:ilvl="6" w:tentative="0">
      <w:start w:val="1"/>
      <w:numFmt w:val="decimal"/>
      <w:lvlText w:val="%1."/>
      <w:lvlJc w:val="left"/>
      <w:pPr>
        <w:tabs>
          <w:tab w:val="left" w:pos="3500"/>
        </w:tabs>
        <w:ind w:left="3500" w:hanging="420"/>
        <w:textAlignment w:val="baseline"/>
      </w:pPr>
    </w:lvl>
    <w:lvl w:ilvl="7" w:tentative="0">
      <w:start w:val="1"/>
      <w:numFmt w:val="lowerLetter"/>
      <w:lvlText w:val="%1)"/>
      <w:lvlJc w:val="left"/>
      <w:pPr>
        <w:tabs>
          <w:tab w:val="left" w:pos="3920"/>
        </w:tabs>
        <w:ind w:left="3920" w:hanging="420"/>
        <w:textAlignment w:val="baseline"/>
      </w:pPr>
    </w:lvl>
    <w:lvl w:ilvl="8" w:tentative="0">
      <w:start w:val="1"/>
      <w:numFmt w:val="lowerRoman"/>
      <w:lvlText w:val="%1."/>
      <w:lvlJc w:val="right"/>
      <w:pPr>
        <w:tabs>
          <w:tab w:val="left" w:pos="4340"/>
        </w:tabs>
        <w:ind w:left="4340" w:hanging="420"/>
        <w:textAlignment w:val="baseline"/>
      </w:pPr>
    </w:lvl>
  </w:abstractNum>
  <w:abstractNum w:abstractNumId="2">
    <w:nsid w:val="269F4984"/>
    <w:multiLevelType w:val="singleLevel"/>
    <w:tmpl w:val="269F498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6D120405"/>
    <w:multiLevelType w:val="singleLevel"/>
    <w:tmpl w:val="6D120405"/>
    <w:lvl w:ilvl="0" w:tentative="0">
      <w:start w:val="5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haracterSpacingControl w:val="doNotCompress"/>
  <w:compat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I3MmFlM2Q3MzFmODk1YTc2M2ViNTFkZDc2NDk3MjcifQ=="/>
  </w:docVars>
  <w:rsids>
    <w:rsidRoot w:val="00256413"/>
    <w:rsid w:val="000046E4"/>
    <w:rsid w:val="000054B0"/>
    <w:rsid w:val="000308B7"/>
    <w:rsid w:val="00047A13"/>
    <w:rsid w:val="00052903"/>
    <w:rsid w:val="00065E2B"/>
    <w:rsid w:val="00066B10"/>
    <w:rsid w:val="00086EEA"/>
    <w:rsid w:val="00086FF6"/>
    <w:rsid w:val="00091425"/>
    <w:rsid w:val="00093528"/>
    <w:rsid w:val="000960BE"/>
    <w:rsid w:val="000A5E09"/>
    <w:rsid w:val="000C4A44"/>
    <w:rsid w:val="000E2D80"/>
    <w:rsid w:val="000F537A"/>
    <w:rsid w:val="00105785"/>
    <w:rsid w:val="00121AA6"/>
    <w:rsid w:val="00123F86"/>
    <w:rsid w:val="001544ED"/>
    <w:rsid w:val="00166DEC"/>
    <w:rsid w:val="0017352E"/>
    <w:rsid w:val="001B7916"/>
    <w:rsid w:val="001C6ED2"/>
    <w:rsid w:val="001D10AD"/>
    <w:rsid w:val="001F3BC3"/>
    <w:rsid w:val="002026B8"/>
    <w:rsid w:val="0021538C"/>
    <w:rsid w:val="0022653B"/>
    <w:rsid w:val="00231FD5"/>
    <w:rsid w:val="00243B6D"/>
    <w:rsid w:val="002525F4"/>
    <w:rsid w:val="00256413"/>
    <w:rsid w:val="00262B22"/>
    <w:rsid w:val="00280949"/>
    <w:rsid w:val="0029029B"/>
    <w:rsid w:val="002A089F"/>
    <w:rsid w:val="002A5B23"/>
    <w:rsid w:val="002B56EF"/>
    <w:rsid w:val="002C37C1"/>
    <w:rsid w:val="002C4DD1"/>
    <w:rsid w:val="002C62D8"/>
    <w:rsid w:val="002D0A1A"/>
    <w:rsid w:val="002E19AE"/>
    <w:rsid w:val="002E4DB6"/>
    <w:rsid w:val="002F44D2"/>
    <w:rsid w:val="00305DE4"/>
    <w:rsid w:val="00324C9E"/>
    <w:rsid w:val="00325097"/>
    <w:rsid w:val="003412CE"/>
    <w:rsid w:val="0034652E"/>
    <w:rsid w:val="00355629"/>
    <w:rsid w:val="003559CB"/>
    <w:rsid w:val="00360833"/>
    <w:rsid w:val="00366EEC"/>
    <w:rsid w:val="00371BBF"/>
    <w:rsid w:val="003774A9"/>
    <w:rsid w:val="00394014"/>
    <w:rsid w:val="00394CB3"/>
    <w:rsid w:val="003C6774"/>
    <w:rsid w:val="003E6028"/>
    <w:rsid w:val="00400470"/>
    <w:rsid w:val="00400F8D"/>
    <w:rsid w:val="00422814"/>
    <w:rsid w:val="00422FC5"/>
    <w:rsid w:val="004315C3"/>
    <w:rsid w:val="00432DBE"/>
    <w:rsid w:val="0043632F"/>
    <w:rsid w:val="00462E55"/>
    <w:rsid w:val="0048627D"/>
    <w:rsid w:val="0049500D"/>
    <w:rsid w:val="004A046B"/>
    <w:rsid w:val="004A2FF9"/>
    <w:rsid w:val="004B67E7"/>
    <w:rsid w:val="004B7713"/>
    <w:rsid w:val="004C5E95"/>
    <w:rsid w:val="004D4F4D"/>
    <w:rsid w:val="004F2B4F"/>
    <w:rsid w:val="00500A62"/>
    <w:rsid w:val="0050199D"/>
    <w:rsid w:val="00503CC4"/>
    <w:rsid w:val="00524C1E"/>
    <w:rsid w:val="005352DE"/>
    <w:rsid w:val="0053670F"/>
    <w:rsid w:val="00550013"/>
    <w:rsid w:val="00554BB2"/>
    <w:rsid w:val="00584B2C"/>
    <w:rsid w:val="00585A69"/>
    <w:rsid w:val="005B190B"/>
    <w:rsid w:val="005B4D4C"/>
    <w:rsid w:val="005E0984"/>
    <w:rsid w:val="005E5910"/>
    <w:rsid w:val="005F1C22"/>
    <w:rsid w:val="006041ED"/>
    <w:rsid w:val="00605E92"/>
    <w:rsid w:val="00606033"/>
    <w:rsid w:val="00623CF3"/>
    <w:rsid w:val="00630D03"/>
    <w:rsid w:val="006539BA"/>
    <w:rsid w:val="006623F5"/>
    <w:rsid w:val="0066289E"/>
    <w:rsid w:val="0066445E"/>
    <w:rsid w:val="00666DE5"/>
    <w:rsid w:val="00684726"/>
    <w:rsid w:val="006A6215"/>
    <w:rsid w:val="006B2DF6"/>
    <w:rsid w:val="006C6765"/>
    <w:rsid w:val="006D4ED4"/>
    <w:rsid w:val="006F1508"/>
    <w:rsid w:val="006F6388"/>
    <w:rsid w:val="007173CC"/>
    <w:rsid w:val="0072199B"/>
    <w:rsid w:val="007257AE"/>
    <w:rsid w:val="007427A7"/>
    <w:rsid w:val="00743B0A"/>
    <w:rsid w:val="00756987"/>
    <w:rsid w:val="00761ED0"/>
    <w:rsid w:val="00774A71"/>
    <w:rsid w:val="0077661F"/>
    <w:rsid w:val="0078541E"/>
    <w:rsid w:val="007876A9"/>
    <w:rsid w:val="007A5356"/>
    <w:rsid w:val="007C1D0B"/>
    <w:rsid w:val="007D1424"/>
    <w:rsid w:val="007E718C"/>
    <w:rsid w:val="008105DD"/>
    <w:rsid w:val="00821EC5"/>
    <w:rsid w:val="00834B2C"/>
    <w:rsid w:val="00834F02"/>
    <w:rsid w:val="00846906"/>
    <w:rsid w:val="00850F7D"/>
    <w:rsid w:val="00855182"/>
    <w:rsid w:val="00884181"/>
    <w:rsid w:val="00893434"/>
    <w:rsid w:val="00894A47"/>
    <w:rsid w:val="00897673"/>
    <w:rsid w:val="00897985"/>
    <w:rsid w:val="008B5A40"/>
    <w:rsid w:val="008C0BBD"/>
    <w:rsid w:val="008C6195"/>
    <w:rsid w:val="008D6100"/>
    <w:rsid w:val="008E3D8D"/>
    <w:rsid w:val="008E4409"/>
    <w:rsid w:val="008F263B"/>
    <w:rsid w:val="00901875"/>
    <w:rsid w:val="00907E36"/>
    <w:rsid w:val="00910541"/>
    <w:rsid w:val="00913051"/>
    <w:rsid w:val="00916EF1"/>
    <w:rsid w:val="0092751D"/>
    <w:rsid w:val="00963F68"/>
    <w:rsid w:val="00966529"/>
    <w:rsid w:val="0096775F"/>
    <w:rsid w:val="00986233"/>
    <w:rsid w:val="00990FFF"/>
    <w:rsid w:val="009A56D6"/>
    <w:rsid w:val="009D7856"/>
    <w:rsid w:val="009F6D31"/>
    <w:rsid w:val="00A01710"/>
    <w:rsid w:val="00A03045"/>
    <w:rsid w:val="00A05714"/>
    <w:rsid w:val="00A07C11"/>
    <w:rsid w:val="00A258F7"/>
    <w:rsid w:val="00A30062"/>
    <w:rsid w:val="00A47A83"/>
    <w:rsid w:val="00A60FD1"/>
    <w:rsid w:val="00A63075"/>
    <w:rsid w:val="00A63F51"/>
    <w:rsid w:val="00A643D1"/>
    <w:rsid w:val="00A70E44"/>
    <w:rsid w:val="00A83886"/>
    <w:rsid w:val="00A87EE3"/>
    <w:rsid w:val="00A97F9C"/>
    <w:rsid w:val="00AB164E"/>
    <w:rsid w:val="00AC4E8D"/>
    <w:rsid w:val="00AC72D8"/>
    <w:rsid w:val="00AC740A"/>
    <w:rsid w:val="00B23478"/>
    <w:rsid w:val="00B27D65"/>
    <w:rsid w:val="00B3311B"/>
    <w:rsid w:val="00B64526"/>
    <w:rsid w:val="00B66DBF"/>
    <w:rsid w:val="00B716E8"/>
    <w:rsid w:val="00BA1716"/>
    <w:rsid w:val="00BA5940"/>
    <w:rsid w:val="00BE6AAE"/>
    <w:rsid w:val="00BE746E"/>
    <w:rsid w:val="00BF5A4E"/>
    <w:rsid w:val="00C011FD"/>
    <w:rsid w:val="00C1246F"/>
    <w:rsid w:val="00C15BF0"/>
    <w:rsid w:val="00C30250"/>
    <w:rsid w:val="00C40367"/>
    <w:rsid w:val="00C52A4E"/>
    <w:rsid w:val="00C5694C"/>
    <w:rsid w:val="00C66A10"/>
    <w:rsid w:val="00C820D1"/>
    <w:rsid w:val="00C95357"/>
    <w:rsid w:val="00CB1213"/>
    <w:rsid w:val="00CC20F6"/>
    <w:rsid w:val="00CE2AEA"/>
    <w:rsid w:val="00CF3DCA"/>
    <w:rsid w:val="00D15CC1"/>
    <w:rsid w:val="00D17642"/>
    <w:rsid w:val="00D23768"/>
    <w:rsid w:val="00D46640"/>
    <w:rsid w:val="00D701C2"/>
    <w:rsid w:val="00D720A0"/>
    <w:rsid w:val="00D72BD6"/>
    <w:rsid w:val="00D75F14"/>
    <w:rsid w:val="00D92EFD"/>
    <w:rsid w:val="00D95025"/>
    <w:rsid w:val="00DC6967"/>
    <w:rsid w:val="00DC6F24"/>
    <w:rsid w:val="00DD1D70"/>
    <w:rsid w:val="00DD6C0B"/>
    <w:rsid w:val="00DE0CD3"/>
    <w:rsid w:val="00DE56EC"/>
    <w:rsid w:val="00E13C3A"/>
    <w:rsid w:val="00E20B93"/>
    <w:rsid w:val="00E21704"/>
    <w:rsid w:val="00E3168F"/>
    <w:rsid w:val="00E404FF"/>
    <w:rsid w:val="00E40756"/>
    <w:rsid w:val="00E431F1"/>
    <w:rsid w:val="00E52727"/>
    <w:rsid w:val="00E602F9"/>
    <w:rsid w:val="00E71C43"/>
    <w:rsid w:val="00E74A1E"/>
    <w:rsid w:val="00E822E9"/>
    <w:rsid w:val="00E97D05"/>
    <w:rsid w:val="00EB5477"/>
    <w:rsid w:val="00ED2017"/>
    <w:rsid w:val="00EF6D59"/>
    <w:rsid w:val="00F053DC"/>
    <w:rsid w:val="00F23784"/>
    <w:rsid w:val="00F24908"/>
    <w:rsid w:val="00F51C4D"/>
    <w:rsid w:val="00F53EFF"/>
    <w:rsid w:val="00FB1ED7"/>
    <w:rsid w:val="00FC1D4A"/>
    <w:rsid w:val="00FD54CA"/>
    <w:rsid w:val="00FD665E"/>
    <w:rsid w:val="00FE1211"/>
    <w:rsid w:val="00FE3722"/>
    <w:rsid w:val="00FE3CAC"/>
    <w:rsid w:val="01EE47D1"/>
    <w:rsid w:val="04735563"/>
    <w:rsid w:val="051F7F62"/>
    <w:rsid w:val="0554422D"/>
    <w:rsid w:val="06DB7AD8"/>
    <w:rsid w:val="079A6B0E"/>
    <w:rsid w:val="08765AB7"/>
    <w:rsid w:val="08A57381"/>
    <w:rsid w:val="08A71E0E"/>
    <w:rsid w:val="0A527669"/>
    <w:rsid w:val="0CA507CB"/>
    <w:rsid w:val="0CBF2263"/>
    <w:rsid w:val="0CC934DE"/>
    <w:rsid w:val="0D4D1C6C"/>
    <w:rsid w:val="0D782A7C"/>
    <w:rsid w:val="0DA11FD2"/>
    <w:rsid w:val="0DFD0EF5"/>
    <w:rsid w:val="0E0410B4"/>
    <w:rsid w:val="102662A6"/>
    <w:rsid w:val="10BD6D92"/>
    <w:rsid w:val="11286CB8"/>
    <w:rsid w:val="123D5E33"/>
    <w:rsid w:val="13901283"/>
    <w:rsid w:val="13F95FBA"/>
    <w:rsid w:val="156D0C34"/>
    <w:rsid w:val="15AB5627"/>
    <w:rsid w:val="160A413F"/>
    <w:rsid w:val="16C3745D"/>
    <w:rsid w:val="18E13BCB"/>
    <w:rsid w:val="1918025F"/>
    <w:rsid w:val="1B423134"/>
    <w:rsid w:val="1B9370FA"/>
    <w:rsid w:val="1B974DF1"/>
    <w:rsid w:val="1CA57919"/>
    <w:rsid w:val="1DE8275D"/>
    <w:rsid w:val="1F9B7FFA"/>
    <w:rsid w:val="209E4DEA"/>
    <w:rsid w:val="21B727E8"/>
    <w:rsid w:val="21FE3FDC"/>
    <w:rsid w:val="23450C56"/>
    <w:rsid w:val="23621DAC"/>
    <w:rsid w:val="242E47D0"/>
    <w:rsid w:val="25F07CCE"/>
    <w:rsid w:val="2A5A37DD"/>
    <w:rsid w:val="2C0C11C9"/>
    <w:rsid w:val="2D5E39B5"/>
    <w:rsid w:val="32096768"/>
    <w:rsid w:val="33EC0765"/>
    <w:rsid w:val="34374380"/>
    <w:rsid w:val="34880F91"/>
    <w:rsid w:val="38994363"/>
    <w:rsid w:val="3A080B60"/>
    <w:rsid w:val="3C015113"/>
    <w:rsid w:val="3E49794B"/>
    <w:rsid w:val="44885634"/>
    <w:rsid w:val="45603A84"/>
    <w:rsid w:val="47BA0462"/>
    <w:rsid w:val="4AE703FC"/>
    <w:rsid w:val="4BEA4569"/>
    <w:rsid w:val="4D141E4B"/>
    <w:rsid w:val="4D61085B"/>
    <w:rsid w:val="4F3F2B09"/>
    <w:rsid w:val="51B31ED4"/>
    <w:rsid w:val="54913C00"/>
    <w:rsid w:val="56A9689B"/>
    <w:rsid w:val="570132F9"/>
    <w:rsid w:val="58AA42F8"/>
    <w:rsid w:val="5ABD0AB2"/>
    <w:rsid w:val="5DC27077"/>
    <w:rsid w:val="5EF00A9F"/>
    <w:rsid w:val="5F932217"/>
    <w:rsid w:val="5FCD7031"/>
    <w:rsid w:val="60133C67"/>
    <w:rsid w:val="601479AF"/>
    <w:rsid w:val="611B4D6D"/>
    <w:rsid w:val="61E914DA"/>
    <w:rsid w:val="62A5376E"/>
    <w:rsid w:val="636B1FDC"/>
    <w:rsid w:val="63B374DF"/>
    <w:rsid w:val="642A32A0"/>
    <w:rsid w:val="668F5FE1"/>
    <w:rsid w:val="68D6620B"/>
    <w:rsid w:val="691F66E8"/>
    <w:rsid w:val="69253816"/>
    <w:rsid w:val="6AD6472B"/>
    <w:rsid w:val="6E286E64"/>
    <w:rsid w:val="70AD28C7"/>
    <w:rsid w:val="70F66DDB"/>
    <w:rsid w:val="71D96859"/>
    <w:rsid w:val="72C76CDD"/>
    <w:rsid w:val="741C4BB6"/>
    <w:rsid w:val="74DC4AE7"/>
    <w:rsid w:val="75AF618F"/>
    <w:rsid w:val="764061F8"/>
    <w:rsid w:val="77F6202B"/>
    <w:rsid w:val="789E7302"/>
    <w:rsid w:val="79900214"/>
    <w:rsid w:val="79FF6646"/>
    <w:rsid w:val="7AE50D8C"/>
    <w:rsid w:val="7C6B796B"/>
    <w:rsid w:val="7CB55088"/>
    <w:rsid w:val="7E4B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kern w:val="0"/>
      <w:sz w:val="32"/>
      <w:szCs w:val="32"/>
    </w:rPr>
  </w:style>
  <w:style w:type="paragraph" w:styleId="4">
    <w:name w:val="heading 4"/>
    <w:basedOn w:val="1"/>
    <w:next w:val="1"/>
    <w:qFormat/>
    <w:uiPriority w:val="0"/>
    <w:pPr>
      <w:widowControl/>
      <w:tabs>
        <w:tab w:val="left" w:pos="567"/>
        <w:tab w:val="left" w:pos="1080"/>
      </w:tabs>
      <w:spacing w:after="120"/>
      <w:jc w:val="left"/>
      <w:outlineLvl w:val="3"/>
    </w:pPr>
    <w:rPr>
      <w:kern w:val="0"/>
      <w:sz w:val="24"/>
      <w:lang w:val="en-NZ"/>
    </w:rPr>
  </w:style>
  <w:style w:type="paragraph" w:styleId="5">
    <w:name w:val="heading 5"/>
    <w:basedOn w:val="1"/>
    <w:next w:val="1"/>
    <w:qFormat/>
    <w:uiPriority w:val="0"/>
    <w:pPr>
      <w:widowControl/>
      <w:tabs>
        <w:tab w:val="left" w:pos="1021"/>
      </w:tabs>
      <w:spacing w:before="240" w:after="120"/>
      <w:jc w:val="left"/>
      <w:outlineLvl w:val="4"/>
    </w:pPr>
    <w:rPr>
      <w:rFonts w:ascii="Arial Narrow" w:hAnsi="Arial Narrow"/>
      <w:i/>
      <w:kern w:val="0"/>
      <w:sz w:val="24"/>
      <w:szCs w:val="20"/>
      <w:lang w:val="en-NZ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qFormat/>
    <w:uiPriority w:val="0"/>
    <w:pPr>
      <w:ind w:left="2940"/>
    </w:pPr>
  </w:style>
  <w:style w:type="paragraph" w:styleId="7">
    <w:name w:val="Normal Indent"/>
    <w:basedOn w:val="1"/>
    <w:qFormat/>
    <w:uiPriority w:val="0"/>
    <w:pPr>
      <w:ind w:firstLine="420" w:firstLineChars="200"/>
    </w:pPr>
    <w:rPr>
      <w:sz w:val="28"/>
      <w:szCs w:val="20"/>
    </w:rPr>
  </w:style>
  <w:style w:type="paragraph" w:styleId="8">
    <w:name w:val="Body Text"/>
    <w:basedOn w:val="1"/>
    <w:unhideWhenUsed/>
    <w:qFormat/>
    <w:uiPriority w:val="0"/>
    <w:pPr>
      <w:spacing w:after="120"/>
    </w:pPr>
    <w:rPr>
      <w:rFonts w:ascii="等线" w:hAnsi="等线" w:eastAsia="等线"/>
      <w:kern w:val="0"/>
      <w:sz w:val="20"/>
      <w:szCs w:val="20"/>
    </w:rPr>
  </w:style>
  <w:style w:type="paragraph" w:styleId="9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10">
    <w:name w:val="Plain Text"/>
    <w:basedOn w:val="1"/>
    <w:link w:val="88"/>
    <w:qFormat/>
    <w:uiPriority w:val="0"/>
    <w:rPr>
      <w:rFonts w:ascii="宋体" w:hAnsi="Courier New"/>
      <w:szCs w:val="21"/>
    </w:rPr>
  </w:style>
  <w:style w:type="paragraph" w:styleId="11">
    <w:name w:val="Date"/>
    <w:basedOn w:val="1"/>
    <w:next w:val="1"/>
    <w:link w:val="91"/>
    <w:qFormat/>
    <w:uiPriority w:val="0"/>
    <w:pPr>
      <w:ind w:left="100" w:leftChars="2500"/>
    </w:pPr>
  </w:style>
  <w:style w:type="paragraph" w:styleId="12">
    <w:name w:val="Body Text Indent 2"/>
    <w:basedOn w:val="1"/>
    <w:qFormat/>
    <w:uiPriority w:val="0"/>
    <w:pPr>
      <w:ind w:firstLine="630"/>
    </w:pPr>
    <w:rPr>
      <w:rFonts w:ascii="Calibri" w:hAnsi="Calibri"/>
      <w:sz w:val="32"/>
      <w:szCs w:val="22"/>
    </w:rPr>
  </w:style>
  <w:style w:type="paragraph" w:styleId="13">
    <w:name w:val="Balloon Text"/>
    <w:basedOn w:val="1"/>
    <w:link w:val="86"/>
    <w:qFormat/>
    <w:uiPriority w:val="0"/>
    <w:rPr>
      <w:sz w:val="18"/>
      <w:szCs w:val="18"/>
    </w:rPr>
  </w:style>
  <w:style w:type="paragraph" w:styleId="14">
    <w:name w:val="footer"/>
    <w:basedOn w:val="1"/>
    <w:next w:val="1"/>
    <w:link w:val="5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47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qFormat/>
    <w:uiPriority w:val="0"/>
    <w:pPr>
      <w:spacing w:line="360" w:lineRule="auto"/>
      <w:ind w:firstLine="480" w:firstLineChars="200"/>
    </w:pPr>
    <w:rPr>
      <w:sz w:val="24"/>
      <w:szCs w:val="21"/>
    </w:rPr>
  </w:style>
  <w:style w:type="paragraph" w:styleId="17">
    <w:name w:val="Normal (Web)"/>
    <w:basedOn w:val="1"/>
    <w:qFormat/>
    <w:uiPriority w:val="0"/>
    <w:pPr>
      <w:spacing w:before="0" w:beforeAutospacing="0" w:after="15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0"/>
    <w:rPr>
      <w:rFonts w:cs="Times New Roman"/>
      <w:b/>
      <w:bCs/>
    </w:rPr>
  </w:style>
  <w:style w:type="character" w:styleId="22">
    <w:name w:val="FollowedHyperlink"/>
    <w:qFormat/>
    <w:uiPriority w:val="0"/>
    <w:rPr>
      <w:color w:val="333333"/>
    </w:rPr>
  </w:style>
  <w:style w:type="character" w:styleId="23">
    <w:name w:val="Emphasis"/>
    <w:basedOn w:val="20"/>
    <w:qFormat/>
    <w:uiPriority w:val="0"/>
    <w:rPr>
      <w:sz w:val="20"/>
      <w:szCs w:val="20"/>
    </w:rPr>
  </w:style>
  <w:style w:type="character" w:styleId="24">
    <w:name w:val="HTML Definition"/>
    <w:basedOn w:val="20"/>
    <w:qFormat/>
    <w:uiPriority w:val="0"/>
    <w:rPr>
      <w:i/>
      <w:iCs/>
    </w:rPr>
  </w:style>
  <w:style w:type="character" w:styleId="25">
    <w:name w:val="Hyperlink"/>
    <w:qFormat/>
    <w:uiPriority w:val="0"/>
    <w:rPr>
      <w:color w:val="333333"/>
    </w:rPr>
  </w:style>
  <w:style w:type="character" w:styleId="26">
    <w:name w:val="HTML Code"/>
    <w:basedOn w:val="20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27">
    <w:name w:val="HTML Cite"/>
    <w:basedOn w:val="20"/>
    <w:qFormat/>
    <w:uiPriority w:val="0"/>
  </w:style>
  <w:style w:type="character" w:styleId="28">
    <w:name w:val="HTML Keyboard"/>
    <w:basedOn w:val="20"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29">
    <w:name w:val="HTML Sample"/>
    <w:basedOn w:val="20"/>
    <w:qFormat/>
    <w:uiPriority w:val="0"/>
    <w:rPr>
      <w:rFonts w:ascii="Consolas" w:hAnsi="Consolas" w:eastAsia="Consolas" w:cs="Consolas"/>
      <w:sz w:val="21"/>
      <w:szCs w:val="21"/>
    </w:rPr>
  </w:style>
  <w:style w:type="paragraph" w:customStyle="1" w:styleId="30">
    <w:name w:val="Heading1"/>
    <w:basedOn w:val="1"/>
    <w:next w:val="1"/>
    <w:link w:val="50"/>
    <w:qFormat/>
    <w:uiPriority w:val="0"/>
    <w:pPr>
      <w:spacing w:before="280" w:line="360" w:lineRule="auto"/>
      <w:ind w:left="432" w:hanging="432"/>
      <w:jc w:val="center"/>
    </w:pPr>
    <w:rPr>
      <w:rFonts w:ascii="Arial Black" w:hAnsi="Arial Black"/>
      <w:b/>
      <w:spacing w:val="20"/>
      <w:kern w:val="0"/>
      <w:sz w:val="44"/>
      <w:szCs w:val="20"/>
    </w:rPr>
  </w:style>
  <w:style w:type="paragraph" w:customStyle="1" w:styleId="31">
    <w:name w:val="Heading2"/>
    <w:basedOn w:val="1"/>
    <w:next w:val="1"/>
    <w:qFormat/>
    <w:uiPriority w:val="0"/>
    <w:pPr>
      <w:keepNext/>
      <w:keepLines/>
      <w:spacing w:before="260" w:after="260" w:line="416" w:lineRule="auto"/>
    </w:pPr>
    <w:rPr>
      <w:rFonts w:ascii="Arial" w:hAnsi="Arial" w:eastAsia="黑体"/>
      <w:b/>
      <w:bCs/>
      <w:sz w:val="32"/>
      <w:szCs w:val="32"/>
    </w:rPr>
  </w:style>
  <w:style w:type="paragraph" w:customStyle="1" w:styleId="32">
    <w:name w:val="Heading3"/>
    <w:basedOn w:val="1"/>
    <w:next w:val="1"/>
    <w:qFormat/>
    <w:uiPriority w:val="0"/>
    <w:pPr>
      <w:keepNext/>
      <w:keepLines/>
      <w:spacing w:before="260" w:after="260" w:line="416" w:lineRule="auto"/>
    </w:pPr>
    <w:rPr>
      <w:b/>
      <w:bCs/>
      <w:sz w:val="32"/>
      <w:szCs w:val="32"/>
    </w:rPr>
  </w:style>
  <w:style w:type="paragraph" w:customStyle="1" w:styleId="33">
    <w:name w:val="Heading4"/>
    <w:basedOn w:val="1"/>
    <w:next w:val="1"/>
    <w:qFormat/>
    <w:uiPriority w:val="0"/>
    <w:pPr>
      <w:keepNext/>
      <w:keepLines/>
      <w:spacing w:before="280" w:after="290" w:line="376" w:lineRule="auto"/>
    </w:pPr>
    <w:rPr>
      <w:rFonts w:ascii="Arial" w:hAnsi="Arial" w:eastAsia="黑体"/>
      <w:b/>
      <w:bCs/>
      <w:sz w:val="28"/>
      <w:szCs w:val="28"/>
    </w:rPr>
  </w:style>
  <w:style w:type="paragraph" w:customStyle="1" w:styleId="34">
    <w:name w:val="Heading6"/>
    <w:basedOn w:val="1"/>
    <w:next w:val="1"/>
    <w:link w:val="62"/>
    <w:qFormat/>
    <w:uiPriority w:val="0"/>
    <w:pPr>
      <w:keepNext/>
      <w:keepLines/>
      <w:spacing w:before="240" w:after="64" w:line="320" w:lineRule="auto"/>
    </w:pPr>
    <w:rPr>
      <w:rFonts w:ascii="Arial" w:hAnsi="Arial" w:eastAsia="黑体"/>
      <w:b/>
      <w:bCs/>
      <w:sz w:val="24"/>
    </w:rPr>
  </w:style>
  <w:style w:type="paragraph" w:customStyle="1" w:styleId="35">
    <w:name w:val="Heading7"/>
    <w:basedOn w:val="1"/>
    <w:next w:val="1"/>
    <w:link w:val="60"/>
    <w:qFormat/>
    <w:uiPriority w:val="0"/>
    <w:pPr>
      <w:keepNext/>
      <w:keepLines/>
      <w:spacing w:before="240" w:after="64" w:line="320" w:lineRule="auto"/>
      <w:jc w:val="left"/>
    </w:pPr>
    <w:rPr>
      <w:b/>
      <w:bCs/>
      <w:sz w:val="24"/>
    </w:rPr>
  </w:style>
  <w:style w:type="character" w:customStyle="1" w:styleId="36">
    <w:name w:val="NormalCharacter"/>
    <w:semiHidden/>
    <w:qFormat/>
    <w:uiPriority w:val="0"/>
  </w:style>
  <w:style w:type="table" w:customStyle="1" w:styleId="37">
    <w:name w:val="TableNormal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8">
    <w:name w:val="UserStyle_0"/>
    <w:link w:val="39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paragraph" w:customStyle="1" w:styleId="39">
    <w:name w:val="PlainText"/>
    <w:basedOn w:val="1"/>
    <w:link w:val="38"/>
    <w:qFormat/>
    <w:uiPriority w:val="0"/>
    <w:rPr>
      <w:rFonts w:ascii="宋体" w:hAnsi="Courier New"/>
      <w:szCs w:val="20"/>
    </w:rPr>
  </w:style>
  <w:style w:type="character" w:customStyle="1" w:styleId="40">
    <w:name w:val="UserStyle_1"/>
    <w:qFormat/>
    <w:uiPriority w:val="0"/>
    <w:rPr>
      <w:rFonts w:ascii="宋体" w:hAnsi="Courier New" w:eastAsia="宋体"/>
      <w:szCs w:val="21"/>
      <w:lang w:bidi="ar-SA"/>
    </w:rPr>
  </w:style>
  <w:style w:type="character" w:customStyle="1" w:styleId="41">
    <w:name w:val="UserStyle_2"/>
    <w:link w:val="42"/>
    <w:semiHidden/>
    <w:qFormat/>
    <w:locked/>
    <w:uiPriority w:val="0"/>
    <w:rPr>
      <w:rFonts w:eastAsia="宋体" w:cs="Times New Roman"/>
      <w:b/>
      <w:bCs/>
      <w:kern w:val="2"/>
      <w:sz w:val="21"/>
      <w:szCs w:val="24"/>
      <w:lang w:val="en-US" w:eastAsia="zh-CN" w:bidi="ar-SA"/>
    </w:rPr>
  </w:style>
  <w:style w:type="paragraph" w:customStyle="1" w:styleId="42">
    <w:name w:val="AnnotationSubject"/>
    <w:basedOn w:val="43"/>
    <w:next w:val="43"/>
    <w:link w:val="41"/>
    <w:semiHidden/>
    <w:qFormat/>
    <w:uiPriority w:val="0"/>
    <w:rPr>
      <w:b/>
      <w:bCs/>
    </w:rPr>
  </w:style>
  <w:style w:type="paragraph" w:customStyle="1" w:styleId="43">
    <w:name w:val="AnnotationText"/>
    <w:basedOn w:val="1"/>
    <w:link w:val="46"/>
    <w:semiHidden/>
    <w:qFormat/>
    <w:uiPriority w:val="0"/>
    <w:pPr>
      <w:jc w:val="left"/>
    </w:pPr>
  </w:style>
  <w:style w:type="character" w:customStyle="1" w:styleId="44">
    <w:name w:val="UserStyle_3"/>
    <w:link w:val="45"/>
    <w:qFormat/>
    <w:locked/>
    <w:uiPriority w:val="0"/>
    <w:rPr>
      <w:rFonts w:ascii="黑体" w:hAnsi="黑体" w:eastAsia="黑体"/>
      <w:kern w:val="2"/>
      <w:sz w:val="24"/>
      <w:szCs w:val="24"/>
      <w:lang w:bidi="ar-SA"/>
    </w:rPr>
  </w:style>
  <w:style w:type="paragraph" w:customStyle="1" w:styleId="45">
    <w:name w:val="UserStyle_4"/>
    <w:basedOn w:val="1"/>
    <w:link w:val="44"/>
    <w:qFormat/>
    <w:uiPriority w:val="0"/>
    <w:pPr>
      <w:spacing w:line="360" w:lineRule="auto"/>
      <w:ind w:firstLine="200" w:firstLineChars="200"/>
    </w:pPr>
    <w:rPr>
      <w:rFonts w:ascii="黑体" w:hAnsi="黑体" w:eastAsia="黑体"/>
      <w:sz w:val="24"/>
    </w:rPr>
  </w:style>
  <w:style w:type="character" w:customStyle="1" w:styleId="46">
    <w:name w:val="UserStyle_5"/>
    <w:link w:val="43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47">
    <w:name w:val="页眉 字符"/>
    <w:link w:val="15"/>
    <w:qFormat/>
    <w:locked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48">
    <w:name w:val="UserStyle_7"/>
    <w:qFormat/>
    <w:locked/>
    <w:uiPriority w:val="0"/>
    <w:rPr>
      <w:rFonts w:ascii="宋体" w:hAnsi="Courier New"/>
      <w:kern w:val="2"/>
      <w:sz w:val="21"/>
      <w:szCs w:val="21"/>
      <w:lang w:bidi="ar-SA"/>
    </w:rPr>
  </w:style>
  <w:style w:type="character" w:customStyle="1" w:styleId="49">
    <w:name w:val="PageNumber"/>
    <w:basedOn w:val="36"/>
    <w:qFormat/>
    <w:uiPriority w:val="0"/>
  </w:style>
  <w:style w:type="character" w:customStyle="1" w:styleId="50">
    <w:name w:val="UserStyle_8"/>
    <w:link w:val="30"/>
    <w:qFormat/>
    <w:uiPriority w:val="0"/>
    <w:rPr>
      <w:rFonts w:ascii="Arial Black" w:hAnsi="Arial Black" w:eastAsia="宋体"/>
      <w:b/>
      <w:spacing w:val="20"/>
      <w:sz w:val="44"/>
      <w:lang w:val="en-US" w:eastAsia="zh-CN" w:bidi="ar-SA"/>
    </w:rPr>
  </w:style>
  <w:style w:type="character" w:customStyle="1" w:styleId="51">
    <w:name w:val="AnnotationReference"/>
    <w:semiHidden/>
    <w:qFormat/>
    <w:uiPriority w:val="0"/>
    <w:rPr>
      <w:sz w:val="21"/>
      <w:szCs w:val="21"/>
    </w:rPr>
  </w:style>
  <w:style w:type="character" w:customStyle="1" w:styleId="52">
    <w:name w:val="页脚 字符"/>
    <w:link w:val="14"/>
    <w:qFormat/>
    <w:uiPriority w:val="0"/>
    <w:rPr>
      <w:kern w:val="2"/>
      <w:sz w:val="18"/>
      <w:szCs w:val="18"/>
    </w:rPr>
  </w:style>
  <w:style w:type="character" w:customStyle="1" w:styleId="53">
    <w:name w:val="UserStyle_10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4">
    <w:name w:val="UserStyle_11"/>
    <w:basedOn w:val="36"/>
    <w:qFormat/>
    <w:uiPriority w:val="0"/>
  </w:style>
  <w:style w:type="character" w:customStyle="1" w:styleId="55">
    <w:name w:val="UserStyle_12"/>
    <w:link w:val="56"/>
    <w:qFormat/>
    <w:uiPriority w:val="0"/>
    <w:rPr>
      <w:kern w:val="2"/>
      <w:sz w:val="21"/>
      <w:lang w:bidi="ar-SA"/>
    </w:rPr>
  </w:style>
  <w:style w:type="paragraph" w:customStyle="1" w:styleId="56">
    <w:name w:val="UserStyle_13"/>
    <w:basedOn w:val="1"/>
    <w:link w:val="55"/>
    <w:qFormat/>
    <w:uiPriority w:val="0"/>
    <w:pPr>
      <w:spacing w:line="360" w:lineRule="auto"/>
      <w:ind w:firstLine="420" w:firstLineChars="200"/>
      <w:jc w:val="left"/>
    </w:pPr>
    <w:rPr>
      <w:szCs w:val="20"/>
    </w:rPr>
  </w:style>
  <w:style w:type="character" w:customStyle="1" w:styleId="57">
    <w:name w:val="UserStyle_14"/>
    <w:link w:val="58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58">
    <w:name w:val="BodyText1I"/>
    <w:basedOn w:val="59"/>
    <w:link w:val="57"/>
    <w:qFormat/>
    <w:uiPriority w:val="0"/>
    <w:pPr>
      <w:ind w:firstLine="420" w:firstLineChars="100"/>
    </w:pPr>
  </w:style>
  <w:style w:type="paragraph" w:customStyle="1" w:styleId="59">
    <w:name w:val="BodyText"/>
    <w:basedOn w:val="1"/>
    <w:qFormat/>
    <w:uiPriority w:val="0"/>
    <w:pPr>
      <w:spacing w:after="120"/>
    </w:pPr>
  </w:style>
  <w:style w:type="character" w:customStyle="1" w:styleId="60">
    <w:name w:val="UserStyle_15"/>
    <w:link w:val="35"/>
    <w:semiHidden/>
    <w:qFormat/>
    <w:uiPriority w:val="0"/>
    <w:rPr>
      <w:rFonts w:eastAsia="宋体" w:cs="Times New Roman"/>
      <w:b/>
      <w:bCs/>
      <w:kern w:val="2"/>
      <w:sz w:val="24"/>
      <w:szCs w:val="24"/>
      <w:lang w:val="en-US" w:eastAsia="zh-CN" w:bidi="ar-SA"/>
    </w:rPr>
  </w:style>
  <w:style w:type="character" w:customStyle="1" w:styleId="61">
    <w:name w:val="UserStyle_16"/>
    <w:qFormat/>
    <w:uiPriority w:val="0"/>
    <w:rPr>
      <w:rFonts w:ascii="Arial" w:hAnsi="Arial" w:eastAsia="黑体" w:cs="Times New Roman"/>
      <w:b/>
      <w:bCs/>
      <w:kern w:val="2"/>
      <w:sz w:val="24"/>
      <w:szCs w:val="24"/>
      <w:lang w:val="en-US" w:eastAsia="zh-CN" w:bidi="ar-SA"/>
    </w:rPr>
  </w:style>
  <w:style w:type="character" w:customStyle="1" w:styleId="62">
    <w:name w:val="UserStyle_17"/>
    <w:link w:val="34"/>
    <w:qFormat/>
    <w:uiPriority w:val="0"/>
    <w:rPr>
      <w:rFonts w:ascii="Arial" w:hAnsi="Arial" w:eastAsia="黑体" w:cs="Times New Roman"/>
      <w:b/>
      <w:bCs/>
      <w:kern w:val="2"/>
      <w:sz w:val="24"/>
      <w:szCs w:val="24"/>
      <w:lang w:val="en-US" w:eastAsia="zh-CN" w:bidi="ar-SA"/>
    </w:rPr>
  </w:style>
  <w:style w:type="character" w:customStyle="1" w:styleId="63">
    <w:name w:val="UserStyle_18"/>
    <w:qFormat/>
    <w:uiPriority w:val="0"/>
    <w:rPr>
      <w:rFonts w:ascii="Arial Black" w:hAnsi="Arial Black" w:eastAsia="宋体"/>
      <w:b/>
      <w:spacing w:val="20"/>
      <w:sz w:val="44"/>
      <w:lang w:val="en-US" w:eastAsia="zh-CN" w:bidi="ar-SA"/>
    </w:rPr>
  </w:style>
  <w:style w:type="character" w:customStyle="1" w:styleId="64">
    <w:name w:val="UserStyle_19"/>
    <w:link w:val="65"/>
    <w:qFormat/>
    <w:locked/>
    <w:uiPriority w:val="0"/>
    <w:rPr>
      <w:rFonts w:eastAsia="宋体"/>
      <w:kern w:val="2"/>
      <w:sz w:val="21"/>
      <w:lang w:val="en-US" w:eastAsia="zh-CN" w:bidi="ar-SA"/>
    </w:rPr>
  </w:style>
  <w:style w:type="paragraph" w:customStyle="1" w:styleId="65">
    <w:name w:val="NormalIndent"/>
    <w:basedOn w:val="1"/>
    <w:link w:val="64"/>
    <w:qFormat/>
    <w:uiPriority w:val="0"/>
    <w:pPr>
      <w:ind w:firstLine="420"/>
    </w:pPr>
    <w:rPr>
      <w:szCs w:val="20"/>
    </w:rPr>
  </w:style>
  <w:style w:type="character" w:customStyle="1" w:styleId="66">
    <w:name w:val="UserStyle_20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67">
    <w:name w:val="UserStyle_21"/>
    <w:qFormat/>
    <w:uiPriority w:val="0"/>
    <w:rPr>
      <w:rFonts w:ascii="Arial Black" w:hAnsi="Arial Black" w:eastAsia="宋体"/>
      <w:b/>
      <w:spacing w:val="20"/>
      <w:sz w:val="44"/>
      <w:lang w:val="en-US" w:eastAsia="zh-CN" w:bidi="ar-SA"/>
    </w:rPr>
  </w:style>
  <w:style w:type="paragraph" w:customStyle="1" w:styleId="68">
    <w:name w:val="BodyTextIndent"/>
    <w:basedOn w:val="1"/>
    <w:qFormat/>
    <w:uiPriority w:val="0"/>
    <w:pPr>
      <w:ind w:left="560" w:firstLine="420"/>
    </w:pPr>
    <w:rPr>
      <w:sz w:val="28"/>
      <w:szCs w:val="20"/>
    </w:rPr>
  </w:style>
  <w:style w:type="paragraph" w:customStyle="1" w:styleId="69">
    <w:name w:val="BodyText3"/>
    <w:basedOn w:val="1"/>
    <w:qFormat/>
    <w:uiPriority w:val="0"/>
    <w:pPr>
      <w:spacing w:line="240" w:lineRule="exact"/>
    </w:pPr>
    <w:rPr>
      <w:rFonts w:ascii="宋体" w:hAnsi="宋体"/>
      <w:color w:val="000000"/>
      <w:szCs w:val="21"/>
    </w:rPr>
  </w:style>
  <w:style w:type="paragraph" w:customStyle="1" w:styleId="70">
    <w:name w:val="Acetate"/>
    <w:basedOn w:val="1"/>
    <w:semiHidden/>
    <w:qFormat/>
    <w:uiPriority w:val="0"/>
    <w:rPr>
      <w:sz w:val="18"/>
      <w:szCs w:val="18"/>
    </w:rPr>
  </w:style>
  <w:style w:type="paragraph" w:customStyle="1" w:styleId="71">
    <w:name w:val="TOC3"/>
    <w:basedOn w:val="1"/>
    <w:next w:val="1"/>
    <w:semiHidden/>
    <w:qFormat/>
    <w:uiPriority w:val="0"/>
    <w:pPr>
      <w:ind w:left="420"/>
      <w:jc w:val="left"/>
    </w:pPr>
    <w:rPr>
      <w:i/>
      <w:iCs/>
    </w:rPr>
  </w:style>
  <w:style w:type="paragraph" w:customStyle="1" w:styleId="72">
    <w:name w:val="HtmlNormal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73">
    <w:name w:val="HtmlPre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paragraph" w:customStyle="1" w:styleId="74">
    <w:name w:val="UserStyle_22"/>
    <w:basedOn w:val="32"/>
    <w:qFormat/>
    <w:uiPriority w:val="0"/>
    <w:pPr>
      <w:numPr>
        <w:ilvl w:val="2"/>
        <w:numId w:val="1"/>
      </w:numPr>
      <w:tabs>
        <w:tab w:val="left" w:pos="360"/>
        <w:tab w:val="left" w:pos="425"/>
      </w:tabs>
      <w:spacing w:before="120" w:after="120" w:line="240" w:lineRule="auto"/>
      <w:ind w:left="0" w:firstLine="0"/>
      <w:jc w:val="left"/>
    </w:pPr>
    <w:rPr>
      <w:b w:val="0"/>
      <w:sz w:val="24"/>
    </w:rPr>
  </w:style>
  <w:style w:type="paragraph" w:customStyle="1" w:styleId="75">
    <w:name w:val="UserStyle_23"/>
    <w:basedOn w:val="1"/>
    <w:qFormat/>
    <w:uiPriority w:val="0"/>
    <w:pPr>
      <w:spacing w:line="360" w:lineRule="auto"/>
      <w:jc w:val="center"/>
    </w:pPr>
    <w:rPr>
      <w:rFonts w:eastAsia="黑体"/>
      <w:sz w:val="24"/>
      <w:szCs w:val="22"/>
    </w:rPr>
  </w:style>
  <w:style w:type="paragraph" w:customStyle="1" w:styleId="76">
    <w:name w:val="UserStyle_24"/>
    <w:basedOn w:val="1"/>
    <w:next w:val="1"/>
    <w:qFormat/>
    <w:uiPriority w:val="0"/>
    <w:pPr>
      <w:jc w:val="left"/>
    </w:pPr>
    <w:rPr>
      <w:rFonts w:ascii="宋体" w:hAnsi="宋体"/>
      <w:color w:val="000000"/>
      <w:kern w:val="0"/>
      <w:szCs w:val="20"/>
    </w:rPr>
  </w:style>
  <w:style w:type="paragraph" w:customStyle="1" w:styleId="77">
    <w:name w:val="UserStyle_25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78">
    <w:name w:val="UserStyle_26"/>
    <w:basedOn w:val="1"/>
    <w:qFormat/>
    <w:uiPriority w:val="0"/>
    <w:rPr>
      <w:rFonts w:ascii="Tahoma" w:hAnsi="Tahoma"/>
      <w:sz w:val="24"/>
      <w:szCs w:val="20"/>
    </w:rPr>
  </w:style>
  <w:style w:type="paragraph" w:customStyle="1" w:styleId="79">
    <w:name w:val="UserStyle_27"/>
    <w:basedOn w:val="1"/>
    <w:qFormat/>
    <w:uiPriority w:val="0"/>
    <w:pPr>
      <w:spacing w:line="360" w:lineRule="auto"/>
      <w:ind w:firstLine="420" w:firstLineChars="200"/>
    </w:pPr>
  </w:style>
  <w:style w:type="paragraph" w:customStyle="1" w:styleId="80">
    <w:name w:val="UserStyle_28"/>
    <w:basedOn w:val="1"/>
    <w:next w:val="39"/>
    <w:qFormat/>
    <w:uiPriority w:val="0"/>
    <w:rPr>
      <w:rFonts w:ascii="宋体" w:hAnsi="Courier New"/>
      <w:szCs w:val="20"/>
    </w:rPr>
  </w:style>
  <w:style w:type="paragraph" w:customStyle="1" w:styleId="81">
    <w:name w:val="UserStyle_29"/>
    <w:qFormat/>
    <w:uiPriority w:val="0"/>
    <w:pPr>
      <w:ind w:firstLine="200" w:firstLineChars="200"/>
      <w:jc w:val="both"/>
      <w:textAlignment w:val="baseline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82">
    <w:name w:val="UserStyle_30"/>
    <w:basedOn w:val="1"/>
    <w:qFormat/>
    <w:uiPriority w:val="0"/>
    <w:rPr>
      <w:rFonts w:ascii="Tahoma" w:hAnsi="Tahoma"/>
      <w:sz w:val="24"/>
      <w:szCs w:val="20"/>
    </w:rPr>
  </w:style>
  <w:style w:type="table" w:customStyle="1" w:styleId="83">
    <w:name w:val="TableGrid"/>
    <w:basedOn w:val="37"/>
    <w:qFormat/>
    <w:uiPriority w:val="0"/>
  </w:style>
  <w:style w:type="paragraph" w:customStyle="1" w:styleId="84">
    <w:name w:val="Char1 Char Char Char Char Char Char"/>
    <w:basedOn w:val="1"/>
    <w:qFormat/>
    <w:uiPriority w:val="0"/>
    <w:pPr>
      <w:widowControl w:val="0"/>
      <w:textAlignment w:val="auto"/>
    </w:pPr>
    <w:rPr>
      <w:rFonts w:ascii="Tahoma" w:hAnsi="Tahoma"/>
      <w:sz w:val="24"/>
      <w:szCs w:val="20"/>
    </w:rPr>
  </w:style>
  <w:style w:type="paragraph" w:customStyle="1" w:styleId="85">
    <w:name w:val="Char1 Char Char Char Char Char Char1"/>
    <w:basedOn w:val="1"/>
    <w:qFormat/>
    <w:uiPriority w:val="0"/>
    <w:pPr>
      <w:widowControl w:val="0"/>
      <w:textAlignment w:val="auto"/>
    </w:pPr>
    <w:rPr>
      <w:rFonts w:ascii="Tahoma" w:hAnsi="Tahoma"/>
      <w:sz w:val="24"/>
      <w:szCs w:val="20"/>
    </w:rPr>
  </w:style>
  <w:style w:type="character" w:customStyle="1" w:styleId="86">
    <w:name w:val="批注框文本 字符"/>
    <w:basedOn w:val="20"/>
    <w:link w:val="13"/>
    <w:qFormat/>
    <w:uiPriority w:val="0"/>
    <w:rPr>
      <w:kern w:val="2"/>
      <w:sz w:val="18"/>
      <w:szCs w:val="18"/>
    </w:rPr>
  </w:style>
  <w:style w:type="character" w:customStyle="1" w:styleId="87">
    <w:name w:val="normalcharacter"/>
    <w:basedOn w:val="20"/>
    <w:qFormat/>
    <w:uiPriority w:val="0"/>
  </w:style>
  <w:style w:type="character" w:customStyle="1" w:styleId="88">
    <w:name w:val="纯文本 字符"/>
    <w:link w:val="10"/>
    <w:qFormat/>
    <w:uiPriority w:val="0"/>
    <w:rPr>
      <w:rFonts w:ascii="宋体" w:hAnsi="Courier New"/>
      <w:kern w:val="2"/>
      <w:sz w:val="21"/>
      <w:szCs w:val="21"/>
    </w:rPr>
  </w:style>
  <w:style w:type="paragraph" w:styleId="89">
    <w:name w:val="List Paragraph"/>
    <w:basedOn w:val="1"/>
    <w:qFormat/>
    <w:uiPriority w:val="99"/>
    <w:pPr>
      <w:ind w:firstLine="420" w:firstLineChars="200"/>
    </w:pPr>
  </w:style>
  <w:style w:type="paragraph" w:customStyle="1" w:styleId="90">
    <w:name w:val="纯文本1"/>
    <w:basedOn w:val="1"/>
    <w:qFormat/>
    <w:uiPriority w:val="0"/>
    <w:pPr>
      <w:widowControl w:val="0"/>
      <w:textAlignment w:val="auto"/>
    </w:pPr>
    <w:rPr>
      <w:rFonts w:ascii="宋体" w:hAnsi="Courier New"/>
      <w:szCs w:val="20"/>
    </w:rPr>
  </w:style>
  <w:style w:type="character" w:customStyle="1" w:styleId="91">
    <w:name w:val="日期 字符"/>
    <w:basedOn w:val="20"/>
    <w:link w:val="11"/>
    <w:qFormat/>
    <w:uiPriority w:val="0"/>
    <w:rPr>
      <w:kern w:val="2"/>
      <w:sz w:val="21"/>
      <w:szCs w:val="24"/>
    </w:rPr>
  </w:style>
  <w:style w:type="character" w:customStyle="1" w:styleId="92">
    <w:name w:val="width-indigo"/>
    <w:basedOn w:val="20"/>
    <w:qFormat/>
    <w:uiPriority w:val="0"/>
  </w:style>
  <w:style w:type="character" w:customStyle="1" w:styleId="93">
    <w:name w:val="width-purple"/>
    <w:basedOn w:val="20"/>
    <w:qFormat/>
    <w:uiPriority w:val="0"/>
  </w:style>
  <w:style w:type="character" w:customStyle="1" w:styleId="94">
    <w:name w:val="newpure-lightgreen"/>
    <w:basedOn w:val="20"/>
    <w:qFormat/>
    <w:uiPriority w:val="0"/>
  </w:style>
  <w:style w:type="character" w:customStyle="1" w:styleId="95">
    <w:name w:val="width-orange"/>
    <w:basedOn w:val="20"/>
    <w:qFormat/>
    <w:uiPriority w:val="0"/>
  </w:style>
  <w:style w:type="character" w:customStyle="1" w:styleId="96">
    <w:name w:val="default-darkred"/>
    <w:basedOn w:val="20"/>
    <w:qFormat/>
    <w:uiPriority w:val="0"/>
  </w:style>
  <w:style w:type="character" w:customStyle="1" w:styleId="97">
    <w:name w:val="newpure-red"/>
    <w:basedOn w:val="20"/>
    <w:qFormat/>
    <w:uiPriority w:val="0"/>
  </w:style>
  <w:style w:type="character" w:customStyle="1" w:styleId="98">
    <w:name w:val="before"/>
    <w:basedOn w:val="20"/>
    <w:qFormat/>
    <w:uiPriority w:val="0"/>
    <w:rPr>
      <w:color w:val="4799E7"/>
    </w:rPr>
  </w:style>
  <w:style w:type="character" w:customStyle="1" w:styleId="99">
    <w:name w:val="before1"/>
    <w:basedOn w:val="20"/>
    <w:qFormat/>
    <w:uiPriority w:val="0"/>
    <w:rPr>
      <w:color w:val="55AAA3"/>
    </w:rPr>
  </w:style>
  <w:style w:type="character" w:customStyle="1" w:styleId="100">
    <w:name w:val="before2"/>
    <w:basedOn w:val="20"/>
    <w:qFormat/>
    <w:uiPriority w:val="0"/>
    <w:rPr>
      <w:sz w:val="18"/>
      <w:szCs w:val="18"/>
    </w:rPr>
  </w:style>
  <w:style w:type="character" w:customStyle="1" w:styleId="101">
    <w:name w:val="before3"/>
    <w:basedOn w:val="20"/>
    <w:qFormat/>
    <w:uiPriority w:val="0"/>
    <w:rPr>
      <w:sz w:val="21"/>
      <w:szCs w:val="21"/>
    </w:rPr>
  </w:style>
  <w:style w:type="character" w:customStyle="1" w:styleId="102">
    <w:name w:val="before4"/>
    <w:basedOn w:val="20"/>
    <w:qFormat/>
    <w:uiPriority w:val="0"/>
    <w:rPr>
      <w:color w:val="ED6D00"/>
    </w:rPr>
  </w:style>
  <w:style w:type="character" w:customStyle="1" w:styleId="103">
    <w:name w:val="before5"/>
    <w:basedOn w:val="20"/>
    <w:qFormat/>
    <w:uiPriority w:val="0"/>
    <w:rPr>
      <w:color w:val="BA2E2E"/>
    </w:rPr>
  </w:style>
  <w:style w:type="character" w:customStyle="1" w:styleId="104">
    <w:name w:val="before6"/>
    <w:basedOn w:val="20"/>
    <w:qFormat/>
    <w:uiPriority w:val="0"/>
    <w:rPr>
      <w:color w:val="393D49"/>
    </w:rPr>
  </w:style>
  <w:style w:type="character" w:customStyle="1" w:styleId="105">
    <w:name w:val="before7"/>
    <w:basedOn w:val="20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106">
    <w:name w:val="before8"/>
    <w:basedOn w:val="20"/>
    <w:qFormat/>
    <w:uiPriority w:val="0"/>
  </w:style>
  <w:style w:type="character" w:customStyle="1" w:styleId="107">
    <w:name w:val="before9"/>
    <w:basedOn w:val="20"/>
    <w:qFormat/>
    <w:uiPriority w:val="0"/>
    <w:rPr>
      <w:sz w:val="24"/>
      <w:szCs w:val="24"/>
    </w:rPr>
  </w:style>
  <w:style w:type="character" w:customStyle="1" w:styleId="108">
    <w:name w:val="newpure-gray"/>
    <w:basedOn w:val="20"/>
    <w:qFormat/>
    <w:uiPriority w:val="0"/>
  </w:style>
  <w:style w:type="character" w:customStyle="1" w:styleId="109">
    <w:name w:val="current"/>
    <w:basedOn w:val="20"/>
    <w:qFormat/>
    <w:uiPriority w:val="0"/>
    <w:rPr>
      <w:color w:val="FFFFFF"/>
      <w:shd w:val="clear" w:fill="4799E7"/>
    </w:rPr>
  </w:style>
  <w:style w:type="character" w:customStyle="1" w:styleId="110">
    <w:name w:val="current1"/>
    <w:basedOn w:val="20"/>
    <w:qFormat/>
    <w:uiPriority w:val="0"/>
    <w:rPr>
      <w:color w:val="FFFFFF"/>
      <w:shd w:val="clear" w:fill="55AAA3"/>
    </w:rPr>
  </w:style>
  <w:style w:type="character" w:customStyle="1" w:styleId="111">
    <w:name w:val="current2"/>
    <w:basedOn w:val="20"/>
    <w:qFormat/>
    <w:uiPriority w:val="0"/>
    <w:rPr>
      <w:color w:val="FFFFFF"/>
      <w:shd w:val="clear" w:fill="ED6D00"/>
    </w:rPr>
  </w:style>
  <w:style w:type="character" w:customStyle="1" w:styleId="112">
    <w:name w:val="current3"/>
    <w:basedOn w:val="20"/>
    <w:qFormat/>
    <w:uiPriority w:val="0"/>
    <w:rPr>
      <w:color w:val="FFFFFF"/>
      <w:shd w:val="clear" w:fill="BA2E2E"/>
    </w:rPr>
  </w:style>
  <w:style w:type="character" w:customStyle="1" w:styleId="113">
    <w:name w:val="current4"/>
    <w:basedOn w:val="20"/>
    <w:qFormat/>
    <w:uiPriority w:val="0"/>
    <w:rPr>
      <w:color w:val="FFFFFF"/>
      <w:shd w:val="clear" w:fill="393D49"/>
    </w:rPr>
  </w:style>
  <w:style w:type="character" w:customStyle="1" w:styleId="114">
    <w:name w:val="default-black"/>
    <w:basedOn w:val="20"/>
    <w:qFormat/>
    <w:uiPriority w:val="0"/>
  </w:style>
  <w:style w:type="character" w:customStyle="1" w:styleId="115">
    <w:name w:val="line-gray"/>
    <w:basedOn w:val="20"/>
    <w:qFormat/>
    <w:uiPriority w:val="0"/>
  </w:style>
  <w:style w:type="character" w:customStyle="1" w:styleId="116">
    <w:name w:val="width-blue"/>
    <w:basedOn w:val="20"/>
    <w:qFormat/>
    <w:uiPriority w:val="0"/>
  </w:style>
  <w:style w:type="character" w:customStyle="1" w:styleId="117">
    <w:name w:val="width-black"/>
    <w:basedOn w:val="20"/>
    <w:qFormat/>
    <w:uiPriority w:val="0"/>
  </w:style>
  <w:style w:type="character" w:customStyle="1" w:styleId="118">
    <w:name w:val="width-maroon"/>
    <w:basedOn w:val="20"/>
    <w:qFormat/>
    <w:uiPriority w:val="0"/>
  </w:style>
  <w:style w:type="character" w:customStyle="1" w:styleId="119">
    <w:name w:val="default-maroon"/>
    <w:basedOn w:val="20"/>
    <w:qFormat/>
    <w:uiPriority w:val="0"/>
  </w:style>
  <w:style w:type="character" w:customStyle="1" w:styleId="120">
    <w:name w:val="default-brown"/>
    <w:basedOn w:val="20"/>
    <w:qFormat/>
    <w:uiPriority w:val="0"/>
  </w:style>
  <w:style w:type="character" w:customStyle="1" w:styleId="121">
    <w:name w:val="layui-layer-tabnow"/>
    <w:basedOn w:val="20"/>
    <w:qFormat/>
    <w:uiPriority w:val="0"/>
    <w:rPr>
      <w:bdr w:val="single" w:color="CCCCCC" w:sz="6" w:space="0"/>
      <w:shd w:val="clear" w:fill="FFFFFF"/>
    </w:rPr>
  </w:style>
  <w:style w:type="character" w:customStyle="1" w:styleId="122">
    <w:name w:val="line-cyan"/>
    <w:basedOn w:val="20"/>
    <w:qFormat/>
    <w:uiPriority w:val="0"/>
  </w:style>
  <w:style w:type="character" w:customStyle="1" w:styleId="123">
    <w:name w:val="width-skyblue"/>
    <w:basedOn w:val="20"/>
    <w:qFormat/>
    <w:uiPriority w:val="0"/>
  </w:style>
  <w:style w:type="character" w:customStyle="1" w:styleId="124">
    <w:name w:val="newpure-skyblue"/>
    <w:basedOn w:val="20"/>
    <w:qFormat/>
    <w:uiPriority w:val="0"/>
  </w:style>
  <w:style w:type="character" w:customStyle="1" w:styleId="125">
    <w:name w:val="line-purple"/>
    <w:basedOn w:val="20"/>
    <w:qFormat/>
    <w:uiPriority w:val="0"/>
  </w:style>
  <w:style w:type="character" w:customStyle="1" w:styleId="126">
    <w:name w:val="width-lightgreen"/>
    <w:basedOn w:val="20"/>
    <w:qFormat/>
    <w:uiPriority w:val="0"/>
  </w:style>
  <w:style w:type="character" w:customStyle="1" w:styleId="127">
    <w:name w:val="line-black"/>
    <w:basedOn w:val="20"/>
    <w:qFormat/>
    <w:uiPriority w:val="0"/>
  </w:style>
  <w:style w:type="character" w:customStyle="1" w:styleId="128">
    <w:name w:val="line-green"/>
    <w:basedOn w:val="20"/>
    <w:qFormat/>
    <w:uiPriority w:val="0"/>
  </w:style>
  <w:style w:type="character" w:customStyle="1" w:styleId="129">
    <w:name w:val="line-darkred"/>
    <w:basedOn w:val="20"/>
    <w:qFormat/>
    <w:uiPriority w:val="0"/>
  </w:style>
  <w:style w:type="character" w:customStyle="1" w:styleId="130">
    <w:name w:val="newpure-maroon"/>
    <w:basedOn w:val="20"/>
    <w:qFormat/>
    <w:uiPriority w:val="0"/>
  </w:style>
  <w:style w:type="character" w:customStyle="1" w:styleId="131">
    <w:name w:val="newpure-darkblue"/>
    <w:basedOn w:val="20"/>
    <w:qFormat/>
    <w:uiPriority w:val="0"/>
  </w:style>
  <w:style w:type="character" w:customStyle="1" w:styleId="132">
    <w:name w:val="width-pink"/>
    <w:basedOn w:val="20"/>
    <w:qFormat/>
    <w:uiPriority w:val="0"/>
  </w:style>
  <w:style w:type="character" w:customStyle="1" w:styleId="133">
    <w:name w:val="tag-num-red"/>
    <w:basedOn w:val="20"/>
    <w:qFormat/>
    <w:uiPriority w:val="0"/>
    <w:rPr>
      <w:color w:val="FFFFFF"/>
      <w:sz w:val="18"/>
      <w:szCs w:val="18"/>
      <w:shd w:val="clear" w:fill="FF0000"/>
    </w:rPr>
  </w:style>
  <w:style w:type="character" w:customStyle="1" w:styleId="134">
    <w:name w:val="button"/>
    <w:basedOn w:val="20"/>
    <w:qFormat/>
    <w:uiPriority w:val="0"/>
  </w:style>
  <w:style w:type="character" w:customStyle="1" w:styleId="135">
    <w:name w:val="first-child"/>
    <w:basedOn w:val="20"/>
    <w:qFormat/>
    <w:uiPriority w:val="0"/>
  </w:style>
  <w:style w:type="character" w:customStyle="1" w:styleId="136">
    <w:name w:val="width-violet"/>
    <w:basedOn w:val="20"/>
    <w:qFormat/>
    <w:uiPriority w:val="0"/>
  </w:style>
  <w:style w:type="character" w:customStyle="1" w:styleId="137">
    <w:name w:val="newpure-purple"/>
    <w:basedOn w:val="20"/>
    <w:qFormat/>
    <w:uiPriority w:val="0"/>
  </w:style>
  <w:style w:type="character" w:customStyle="1" w:styleId="138">
    <w:name w:val="hover20"/>
    <w:basedOn w:val="20"/>
    <w:qFormat/>
    <w:uiPriority w:val="0"/>
    <w:rPr>
      <w:sz w:val="21"/>
      <w:szCs w:val="21"/>
    </w:rPr>
  </w:style>
  <w:style w:type="character" w:customStyle="1" w:styleId="139">
    <w:name w:val="hover21"/>
    <w:basedOn w:val="20"/>
    <w:qFormat/>
    <w:uiPriority w:val="0"/>
    <w:rPr>
      <w:shd w:val="clear" w:fill="F3F3F3"/>
    </w:rPr>
  </w:style>
  <w:style w:type="character" w:customStyle="1" w:styleId="140">
    <w:name w:val="hover22"/>
    <w:basedOn w:val="20"/>
    <w:qFormat/>
    <w:uiPriority w:val="0"/>
    <w:rPr>
      <w:shd w:val="clear" w:fill="F3F3F3"/>
    </w:rPr>
  </w:style>
  <w:style w:type="character" w:customStyle="1" w:styleId="141">
    <w:name w:val="line-brown"/>
    <w:basedOn w:val="20"/>
    <w:qFormat/>
    <w:uiPriority w:val="0"/>
  </w:style>
  <w:style w:type="character" w:customStyle="1" w:styleId="142">
    <w:name w:val="default-indigo"/>
    <w:basedOn w:val="20"/>
    <w:qFormat/>
    <w:uiPriority w:val="0"/>
  </w:style>
  <w:style w:type="character" w:customStyle="1" w:styleId="143">
    <w:name w:val="newpure-brown"/>
    <w:basedOn w:val="20"/>
    <w:qFormat/>
    <w:uiPriority w:val="0"/>
  </w:style>
  <w:style w:type="character" w:customStyle="1" w:styleId="144">
    <w:name w:val="newpure-seablue"/>
    <w:basedOn w:val="20"/>
    <w:qFormat/>
    <w:uiPriority w:val="0"/>
  </w:style>
  <w:style w:type="character" w:customStyle="1" w:styleId="145">
    <w:name w:val="default-cyan"/>
    <w:basedOn w:val="20"/>
    <w:qFormat/>
    <w:uiPriority w:val="0"/>
  </w:style>
  <w:style w:type="character" w:customStyle="1" w:styleId="146">
    <w:name w:val="default-pink"/>
    <w:basedOn w:val="20"/>
    <w:qFormat/>
    <w:uiPriority w:val="0"/>
  </w:style>
  <w:style w:type="character" w:customStyle="1" w:styleId="147">
    <w:name w:val="default-orange"/>
    <w:basedOn w:val="20"/>
    <w:qFormat/>
    <w:uiPriority w:val="0"/>
  </w:style>
  <w:style w:type="character" w:customStyle="1" w:styleId="148">
    <w:name w:val="line-maroon"/>
    <w:basedOn w:val="20"/>
    <w:qFormat/>
    <w:uiPriority w:val="0"/>
  </w:style>
  <w:style w:type="character" w:customStyle="1" w:styleId="149">
    <w:name w:val="newpure-darkred"/>
    <w:basedOn w:val="20"/>
    <w:qFormat/>
    <w:uiPriority w:val="0"/>
  </w:style>
  <w:style w:type="character" w:customStyle="1" w:styleId="150">
    <w:name w:val="default-red"/>
    <w:basedOn w:val="20"/>
    <w:qFormat/>
    <w:uiPriority w:val="0"/>
  </w:style>
  <w:style w:type="character" w:customStyle="1" w:styleId="151">
    <w:name w:val="newpure-cyan"/>
    <w:basedOn w:val="20"/>
    <w:qFormat/>
    <w:uiPriority w:val="0"/>
  </w:style>
  <w:style w:type="character" w:customStyle="1" w:styleId="152">
    <w:name w:val="width-brown"/>
    <w:basedOn w:val="20"/>
    <w:qFormat/>
    <w:uiPriority w:val="0"/>
  </w:style>
  <w:style w:type="character" w:customStyle="1" w:styleId="153">
    <w:name w:val="newpure-orange"/>
    <w:basedOn w:val="20"/>
    <w:qFormat/>
    <w:uiPriority w:val="0"/>
  </w:style>
  <w:style w:type="character" w:customStyle="1" w:styleId="154">
    <w:name w:val="default-lightgreen"/>
    <w:basedOn w:val="20"/>
    <w:qFormat/>
    <w:uiPriority w:val="0"/>
  </w:style>
  <w:style w:type="character" w:customStyle="1" w:styleId="155">
    <w:name w:val="default-violet"/>
    <w:basedOn w:val="20"/>
    <w:qFormat/>
    <w:uiPriority w:val="0"/>
  </w:style>
  <w:style w:type="character" w:customStyle="1" w:styleId="156">
    <w:name w:val="line-indigo"/>
    <w:basedOn w:val="20"/>
    <w:qFormat/>
    <w:uiPriority w:val="0"/>
  </w:style>
  <w:style w:type="character" w:customStyle="1" w:styleId="157">
    <w:name w:val="line-darkblue"/>
    <w:basedOn w:val="20"/>
    <w:qFormat/>
    <w:uiPriority w:val="0"/>
  </w:style>
  <w:style w:type="character" w:customStyle="1" w:styleId="158">
    <w:name w:val="default-green"/>
    <w:basedOn w:val="20"/>
    <w:qFormat/>
    <w:uiPriority w:val="0"/>
  </w:style>
  <w:style w:type="character" w:customStyle="1" w:styleId="159">
    <w:name w:val="line-pink"/>
    <w:basedOn w:val="20"/>
    <w:qFormat/>
    <w:uiPriority w:val="0"/>
  </w:style>
  <w:style w:type="character" w:customStyle="1" w:styleId="160">
    <w:name w:val="line-orange"/>
    <w:basedOn w:val="20"/>
    <w:qFormat/>
    <w:uiPriority w:val="0"/>
  </w:style>
  <w:style w:type="character" w:customStyle="1" w:styleId="161">
    <w:name w:val="default-seablue"/>
    <w:basedOn w:val="20"/>
    <w:qFormat/>
    <w:uiPriority w:val="0"/>
  </w:style>
  <w:style w:type="character" w:customStyle="1" w:styleId="162">
    <w:name w:val="default-skyblue"/>
    <w:basedOn w:val="20"/>
    <w:qFormat/>
    <w:uiPriority w:val="0"/>
  </w:style>
  <w:style w:type="character" w:customStyle="1" w:styleId="163">
    <w:name w:val="default-blue"/>
    <w:basedOn w:val="20"/>
    <w:qFormat/>
    <w:uiPriority w:val="0"/>
  </w:style>
  <w:style w:type="character" w:customStyle="1" w:styleId="164">
    <w:name w:val="default-purple"/>
    <w:basedOn w:val="20"/>
    <w:qFormat/>
    <w:uiPriority w:val="0"/>
  </w:style>
  <w:style w:type="character" w:customStyle="1" w:styleId="165">
    <w:name w:val="default-darkblue"/>
    <w:basedOn w:val="20"/>
    <w:qFormat/>
    <w:uiPriority w:val="0"/>
  </w:style>
  <w:style w:type="character" w:customStyle="1" w:styleId="166">
    <w:name w:val="default-gray"/>
    <w:basedOn w:val="20"/>
    <w:qFormat/>
    <w:uiPriority w:val="0"/>
  </w:style>
  <w:style w:type="character" w:customStyle="1" w:styleId="167">
    <w:name w:val="newpure-pink"/>
    <w:basedOn w:val="20"/>
    <w:qFormat/>
    <w:uiPriority w:val="0"/>
  </w:style>
  <w:style w:type="character" w:customStyle="1" w:styleId="168">
    <w:name w:val="line-red"/>
    <w:basedOn w:val="20"/>
    <w:qFormat/>
    <w:uiPriority w:val="0"/>
  </w:style>
  <w:style w:type="character" w:customStyle="1" w:styleId="169">
    <w:name w:val="line-lightgreen"/>
    <w:basedOn w:val="20"/>
    <w:qFormat/>
    <w:uiPriority w:val="0"/>
  </w:style>
  <w:style w:type="character" w:customStyle="1" w:styleId="170">
    <w:name w:val="line-seablue"/>
    <w:basedOn w:val="20"/>
    <w:qFormat/>
    <w:uiPriority w:val="0"/>
  </w:style>
  <w:style w:type="character" w:customStyle="1" w:styleId="171">
    <w:name w:val="line-skyblue"/>
    <w:basedOn w:val="20"/>
    <w:qFormat/>
    <w:uiPriority w:val="0"/>
  </w:style>
  <w:style w:type="character" w:customStyle="1" w:styleId="172">
    <w:name w:val="line-blue"/>
    <w:basedOn w:val="20"/>
    <w:qFormat/>
    <w:uiPriority w:val="0"/>
  </w:style>
  <w:style w:type="character" w:customStyle="1" w:styleId="173">
    <w:name w:val="line-violet"/>
    <w:basedOn w:val="20"/>
    <w:qFormat/>
    <w:uiPriority w:val="0"/>
  </w:style>
  <w:style w:type="character" w:customStyle="1" w:styleId="174">
    <w:name w:val="newpure-green"/>
    <w:basedOn w:val="20"/>
    <w:qFormat/>
    <w:uiPriority w:val="0"/>
  </w:style>
  <w:style w:type="character" w:customStyle="1" w:styleId="175">
    <w:name w:val="width-green"/>
    <w:basedOn w:val="20"/>
    <w:qFormat/>
    <w:uiPriority w:val="0"/>
  </w:style>
  <w:style w:type="character" w:customStyle="1" w:styleId="176">
    <w:name w:val="newpure-blue"/>
    <w:basedOn w:val="20"/>
    <w:qFormat/>
    <w:uiPriority w:val="0"/>
  </w:style>
  <w:style w:type="character" w:customStyle="1" w:styleId="177">
    <w:name w:val="newpure-violet"/>
    <w:basedOn w:val="20"/>
    <w:qFormat/>
    <w:uiPriority w:val="0"/>
  </w:style>
  <w:style w:type="character" w:customStyle="1" w:styleId="178">
    <w:name w:val="newpure-indigo"/>
    <w:basedOn w:val="20"/>
    <w:qFormat/>
    <w:uiPriority w:val="0"/>
  </w:style>
  <w:style w:type="character" w:customStyle="1" w:styleId="179">
    <w:name w:val="newpure-black"/>
    <w:basedOn w:val="20"/>
    <w:qFormat/>
    <w:uiPriority w:val="0"/>
  </w:style>
  <w:style w:type="character" w:customStyle="1" w:styleId="180">
    <w:name w:val="width-red"/>
    <w:basedOn w:val="20"/>
    <w:qFormat/>
    <w:uiPriority w:val="0"/>
  </w:style>
  <w:style w:type="character" w:customStyle="1" w:styleId="181">
    <w:name w:val="width-darkred"/>
    <w:basedOn w:val="20"/>
    <w:qFormat/>
    <w:uiPriority w:val="0"/>
  </w:style>
  <w:style w:type="character" w:customStyle="1" w:styleId="182">
    <w:name w:val="width-cyan"/>
    <w:basedOn w:val="20"/>
    <w:qFormat/>
    <w:uiPriority w:val="0"/>
  </w:style>
  <w:style w:type="character" w:customStyle="1" w:styleId="183">
    <w:name w:val="width-seablue"/>
    <w:basedOn w:val="20"/>
    <w:qFormat/>
    <w:uiPriority w:val="0"/>
  </w:style>
  <w:style w:type="character" w:customStyle="1" w:styleId="184">
    <w:name w:val="width-darkblue"/>
    <w:basedOn w:val="20"/>
    <w:qFormat/>
    <w:uiPriority w:val="0"/>
  </w:style>
  <w:style w:type="character" w:customStyle="1" w:styleId="185">
    <w:name w:val="width-gray"/>
    <w:basedOn w:val="20"/>
    <w:qFormat/>
    <w:uiPriority w:val="0"/>
  </w:style>
  <w:style w:type="paragraph" w:customStyle="1" w:styleId="186">
    <w:name w:val="首行缩进"/>
    <w:basedOn w:val="1"/>
    <w:qFormat/>
    <w:uiPriority w:val="0"/>
    <w:pPr>
      <w:ind w:firstLine="480" w:firstLineChars="200"/>
    </w:pPr>
  </w:style>
  <w:style w:type="paragraph" w:customStyle="1" w:styleId="187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  <w:style w:type="paragraph" w:customStyle="1" w:styleId="188">
    <w:name w:val="表格文字"/>
    <w:basedOn w:val="1"/>
    <w:qFormat/>
    <w:uiPriority w:val="0"/>
    <w:pPr>
      <w:spacing w:before="25" w:after="25"/>
      <w:jc w:val="left"/>
    </w:pPr>
    <w:rPr>
      <w:bCs/>
      <w:spacing w:val="10"/>
      <w:kern w:val="0"/>
      <w:sz w:val="24"/>
    </w:rPr>
  </w:style>
  <w:style w:type="paragraph" w:customStyle="1" w:styleId="18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Times New Roman" w:cs="Times New Roman"/>
      <w:color w:val="00000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1361</Words>
  <Characters>1468</Characters>
  <Lines>81</Lines>
  <Paragraphs>64</Paragraphs>
  <TotalTime>2</TotalTime>
  <ScaleCrop>false</ScaleCrop>
  <LinksUpToDate>false</LinksUpToDate>
  <CharactersWithSpaces>1559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2024-05-17T09:04:00Z</dcterms:created>
  <dc:creator>Administrator</dc:creator>
  <cp:lastModifiedBy>辰森</cp:lastModifiedBy>
  <cp:lastPrinted>2026-09-15T07:59:00Z</cp:lastPrinted>
  <dcterms:modified xsi:type="dcterms:W3CDTF">2026-09-16T09:44:27Z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E0B2FED6568E409CA24E113F2AD7D70D_13</vt:lpwstr>
  </property>
  <property fmtid="{D5CDD505-2E9C-101B-9397-08002B2CF9AE}" pid="4" name="KSOTemplateDocerSaveRecord">
    <vt:lpwstr>eyJoZGlkIjoiMGZlZTk5ZmVhOTUzNjUyM2I2MmQzNjc1OWNiNjVlYTciLCJ1c2VySWQiOiI3NTUwMDQ2OTUifQ==</vt:lpwstr>
  </property>
</Properties>
</file>