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bookmarkStart w:id="1" w:name="_GoBack"/>
      <w:bookmarkStart w:id="0" w:name="OLE_LINK1"/>
      <w:r>
        <w:rPr>
          <w:rFonts w:hint="eastAsia" w:ascii="方正小标宋简体" w:hAnsi="方正小标宋简体" w:eastAsia="方正小标宋简体" w:cs="方正小标宋简体"/>
          <w:b w:val="0"/>
          <w:bCs w:val="0"/>
          <w:sz w:val="44"/>
          <w:szCs w:val="44"/>
          <w:lang w:val="en-US" w:eastAsia="zh-CN"/>
        </w:rPr>
        <w:t>桂林市中西医结合医院</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康复设备一批采购项目需求调查公告</w:t>
      </w:r>
    </w:p>
    <w:bookmarkEnd w:id="1"/>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为加强政府采购需求管理，确保采购需求的完整性及明确性, 根据《政府采购需求管理办法》（财库〔2021〕22号）、《广西壮族自治区财政厅关于转发财政部政府采购需求管理办法的通知》（桂财采〔2021〕67号）有关规定，</w:t>
      </w:r>
      <w:r>
        <w:rPr>
          <w:rFonts w:hint="eastAsia" w:ascii="仿宋" w:hAnsi="仿宋" w:eastAsia="仿宋" w:cs="仿宋"/>
          <w:color w:val="auto"/>
          <w:sz w:val="28"/>
          <w:szCs w:val="28"/>
          <w:highlight w:val="none"/>
          <w:lang w:val="en-US" w:eastAsia="zh-CN"/>
        </w:rPr>
        <w:t>我院</w:t>
      </w:r>
      <w:r>
        <w:rPr>
          <w:rFonts w:hint="eastAsia" w:ascii="仿宋" w:hAnsi="仿宋" w:eastAsia="仿宋" w:cs="仿宋"/>
          <w:color w:val="auto"/>
          <w:sz w:val="28"/>
          <w:szCs w:val="28"/>
          <w:highlight w:val="none"/>
        </w:rPr>
        <w:t>就“</w:t>
      </w:r>
      <w:r>
        <w:rPr>
          <w:rFonts w:hint="eastAsia" w:ascii="仿宋" w:hAnsi="仿宋" w:eastAsia="仿宋" w:cs="仿宋"/>
          <w:color w:val="auto"/>
          <w:sz w:val="28"/>
          <w:szCs w:val="28"/>
          <w:highlight w:val="none"/>
          <w:lang w:val="en-US" w:eastAsia="zh-CN"/>
        </w:rPr>
        <w:t>桂林市中西医结合医院康复设备一批</w:t>
      </w:r>
      <w:r>
        <w:rPr>
          <w:rFonts w:hint="eastAsia" w:ascii="仿宋" w:hAnsi="仿宋" w:eastAsia="仿宋" w:cs="仿宋"/>
          <w:color w:val="auto"/>
          <w:sz w:val="28"/>
          <w:szCs w:val="28"/>
          <w:highlight w:val="none"/>
        </w:rPr>
        <w:t>采购项目”向潜在市场主体开展采购需求调查，欢迎各市场主体积极</w:t>
      </w:r>
      <w:r>
        <w:rPr>
          <w:rFonts w:hint="eastAsia" w:ascii="仿宋" w:hAnsi="仿宋" w:eastAsia="仿宋" w:cs="仿宋"/>
          <w:color w:val="auto"/>
          <w:sz w:val="28"/>
          <w:szCs w:val="28"/>
          <w:highlight w:val="none"/>
          <w:lang w:val="en-US" w:eastAsia="zh-CN"/>
        </w:rPr>
        <w:t>参与</w:t>
      </w:r>
      <w:r>
        <w:rPr>
          <w:rFonts w:hint="eastAsia" w:ascii="仿宋" w:hAnsi="仿宋" w:eastAsia="仿宋" w:cs="仿宋"/>
          <w:color w:val="auto"/>
          <w:sz w:val="28"/>
          <w:szCs w:val="28"/>
          <w:highlight w:val="none"/>
        </w:rPr>
        <w:t>，现将有关事宜公告如下：</w:t>
      </w:r>
    </w:p>
    <w:p>
      <w:pPr>
        <w:keepNext w:val="0"/>
        <w:keepLines w:val="0"/>
        <w:pageBreakBefore w:val="0"/>
        <w:widowControl w:val="0"/>
        <w:kinsoku/>
        <w:wordWrap/>
        <w:overflowPunct/>
        <w:topLinePunct w:val="0"/>
        <w:autoSpaceDE/>
        <w:autoSpaceDN/>
        <w:bidi w:val="0"/>
        <w:adjustRightInd/>
        <w:snapToGrid w:val="0"/>
        <w:spacing w:line="460" w:lineRule="exact"/>
        <w:ind w:firstLine="562" w:firstLineChars="200"/>
        <w:jc w:val="left"/>
        <w:textAlignment w:val="auto"/>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一、项目基本情况</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采购内</w:t>
      </w:r>
      <w:r>
        <w:rPr>
          <w:rFonts w:hint="eastAsia" w:ascii="仿宋" w:hAnsi="仿宋" w:eastAsia="仿宋" w:cs="仿宋"/>
          <w:color w:val="auto"/>
          <w:sz w:val="28"/>
          <w:szCs w:val="28"/>
          <w:highlight w:val="none"/>
          <w:lang w:val="en-US" w:eastAsia="zh-CN"/>
        </w:rPr>
        <w:t>容：康复设备一批，具</w:t>
      </w:r>
      <w:r>
        <w:rPr>
          <w:rFonts w:hint="eastAsia" w:ascii="仿宋" w:hAnsi="仿宋" w:eastAsia="仿宋" w:cs="仿宋"/>
          <w:color w:val="auto"/>
          <w:sz w:val="28"/>
          <w:szCs w:val="28"/>
          <w:highlight w:val="none"/>
        </w:rPr>
        <w:t>体详见</w:t>
      </w:r>
      <w:r>
        <w:rPr>
          <w:rFonts w:hint="eastAsia" w:ascii="仿宋" w:hAnsi="仿宋" w:eastAsia="仿宋" w:cs="仿宋"/>
          <w:color w:val="auto"/>
          <w:sz w:val="28"/>
          <w:szCs w:val="28"/>
          <w:highlight w:val="none"/>
          <w:lang w:val="en-US" w:eastAsia="zh-CN"/>
        </w:rPr>
        <w:t>附件3</w:t>
      </w:r>
      <w:r>
        <w:rPr>
          <w:rFonts w:hint="eastAsia" w:ascii="仿宋" w:hAnsi="仿宋" w:eastAsia="仿宋" w:cs="仿宋"/>
          <w:color w:val="auto"/>
          <w:sz w:val="28"/>
          <w:szCs w:val="28"/>
          <w:highlight w:val="none"/>
        </w:rPr>
        <w:t>《采购需求</w:t>
      </w:r>
      <w:r>
        <w:rPr>
          <w:rFonts w:hint="eastAsia" w:ascii="仿宋" w:hAnsi="仿宋" w:eastAsia="仿宋" w:cs="仿宋"/>
          <w:color w:val="auto"/>
          <w:sz w:val="28"/>
          <w:szCs w:val="28"/>
          <w:highlight w:val="none"/>
          <w:lang w:val="en-US" w:eastAsia="zh-CN"/>
        </w:rPr>
        <w:t>表</w:t>
      </w:r>
      <w:r>
        <w:rPr>
          <w:rFonts w:hint="eastAsia" w:ascii="仿宋" w:hAnsi="仿宋" w:eastAsia="仿宋" w:cs="仿宋"/>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（二）产品质保期：整机质保≥3年</w:t>
      </w:r>
    </w:p>
    <w:p>
      <w:pPr>
        <w:keepNext w:val="0"/>
        <w:keepLines w:val="0"/>
        <w:pageBreakBefore w:val="0"/>
        <w:widowControl w:val="0"/>
        <w:kinsoku/>
        <w:wordWrap/>
        <w:overflowPunct/>
        <w:topLinePunct w:val="0"/>
        <w:autoSpaceDE/>
        <w:autoSpaceDN/>
        <w:bidi w:val="0"/>
        <w:adjustRightInd/>
        <w:snapToGrid w:val="0"/>
        <w:spacing w:line="460" w:lineRule="exact"/>
        <w:ind w:firstLine="562" w:firstLineChars="200"/>
        <w:jc w:val="left"/>
        <w:textAlignment w:val="auto"/>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二、采购需求调查内容</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本次采购需求调查内容如下：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420"/>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1.公司简介（附件1）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420"/>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2.报价表（附件2）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420"/>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3.资格证明材料（以下证明材料均需加盖单位公章）：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420"/>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（1）设备生产厂家营业执照复印件；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420"/>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（2）供应商营业执照复印件；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420"/>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（3）法定代表人身份证正反面复印件，供应商的授权委托书原件、委托代理人身份证正反面复印件；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420"/>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供应商参加政府采购活动前3年内在经营活动中没有重大违法记录及有关信用信息的书面声明或信用信息报告；供应商在“信用中国”网(www.creditchina.gov.cn)查询网站直接打印的信用查询记录,以及中国政府采购网(www.ccgp.gov.cn)等渠道列入失信被执行人、重大税收违法案件当事人名单、政府采购严重违法失信行为记录名单打印材料。</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采购需求</w:t>
      </w:r>
      <w:r>
        <w:rPr>
          <w:rFonts w:hint="eastAsia" w:ascii="仿宋" w:hAnsi="仿宋" w:eastAsia="仿宋" w:cs="仿宋"/>
          <w:color w:val="auto"/>
          <w:sz w:val="28"/>
          <w:szCs w:val="28"/>
          <w:highlight w:val="none"/>
          <w:lang w:val="en-US" w:eastAsia="zh-CN"/>
        </w:rPr>
        <w:t>偏离及</w:t>
      </w:r>
      <w:r>
        <w:rPr>
          <w:rFonts w:hint="eastAsia" w:ascii="仿宋" w:hAnsi="仿宋" w:eastAsia="仿宋" w:cs="仿宋"/>
          <w:color w:val="auto"/>
          <w:sz w:val="28"/>
          <w:szCs w:val="28"/>
          <w:highlight w:val="none"/>
        </w:rPr>
        <w:t>合理化建议</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附件3</w:t>
      </w:r>
      <w:r>
        <w:rPr>
          <w:rFonts w:hint="eastAsia" w:ascii="仿宋" w:hAnsi="仿宋" w:eastAsia="仿宋" w:cs="仿宋"/>
          <w:color w:val="auto"/>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460" w:lineRule="exact"/>
        <w:ind w:firstLine="562" w:firstLineChars="200"/>
        <w:jc w:val="left"/>
        <w:textAlignment w:val="auto"/>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三、采购需求调查方式</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问卷调查</w:t>
      </w:r>
      <w:r>
        <w:rPr>
          <w:rFonts w:hint="eastAsia" w:ascii="仿宋" w:hAnsi="仿宋" w:eastAsia="仿宋" w:cs="仿宋"/>
          <w:color w:val="auto"/>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460" w:lineRule="exact"/>
        <w:ind w:firstLine="562" w:firstLineChars="200"/>
        <w:jc w:val="left"/>
        <w:textAlignment w:val="auto"/>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四、采购需求调查要求</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市场主体资格要求</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满足《中华人民共和国政府采购法》第二十二条规定。</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对在“信用中国”网站(www.creditchina.gov.cn )、中国政府采购网(www.ccgp.gov.cn )等渠道列入失信被执行人、重大税收违法案件当事人名单、政府采购严重违法失信行为记录名单不得参与报名。</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调查反馈意见及材料送交方式</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1.参询</w:t>
      </w:r>
      <w:r>
        <w:rPr>
          <w:rFonts w:hint="eastAsia" w:ascii="仿宋" w:hAnsi="仿宋" w:eastAsia="仿宋" w:cs="仿宋"/>
          <w:color w:val="auto"/>
          <w:sz w:val="28"/>
          <w:szCs w:val="28"/>
          <w:highlight w:val="none"/>
        </w:rPr>
        <w:t>邮件要求如下：邮件主题命名格式:项目名称+公司名称+市场需求调查；邮件内容：</w:t>
      </w:r>
      <w:r>
        <w:rPr>
          <w:rFonts w:hint="eastAsia" w:ascii="仿宋" w:hAnsi="仿宋" w:eastAsia="仿宋" w:cs="仿宋"/>
          <w:color w:val="auto"/>
          <w:sz w:val="28"/>
          <w:szCs w:val="28"/>
          <w:highlight w:val="none"/>
          <w:lang w:val="en-US" w:eastAsia="zh-CN"/>
        </w:rPr>
        <w:t>附件1-3及其他证明材料</w:t>
      </w:r>
      <w:r>
        <w:rPr>
          <w:rFonts w:hint="eastAsia" w:ascii="仿宋" w:hAnsi="仿宋" w:eastAsia="仿宋" w:cs="仿宋"/>
          <w:color w:val="auto"/>
          <w:sz w:val="28"/>
          <w:szCs w:val="28"/>
          <w:highlight w:val="none"/>
        </w:rPr>
        <w:t>（如有）。需提供扫描文件（格式：PDF）以及可编辑的Word格式电子文件（格式：doc或docx），并以邮件附件形式在递交截止时间前提交至邮箱</w:t>
      </w:r>
      <w:r>
        <w:rPr>
          <w:rFonts w:hint="eastAsia" w:ascii="仿宋" w:hAnsi="仿宋" w:eastAsia="仿宋" w:cs="仿宋"/>
          <w:color w:val="auto"/>
          <w:sz w:val="28"/>
          <w:szCs w:val="28"/>
          <w:highlight w:val="none"/>
          <w:lang w:val="en-US" w:eastAsia="zh-CN"/>
        </w:rPr>
        <w:t>791374105@qq</w:t>
      </w:r>
      <w:r>
        <w:rPr>
          <w:rFonts w:hint="eastAsia" w:ascii="仿宋" w:hAnsi="仿宋" w:eastAsia="仿宋" w:cs="仿宋"/>
          <w:color w:val="auto"/>
          <w:sz w:val="28"/>
          <w:szCs w:val="28"/>
          <w:highlight w:val="none"/>
        </w:rPr>
        <w:t>.com</w:t>
      </w:r>
      <w:r>
        <w:rPr>
          <w:rFonts w:hint="eastAsia" w:ascii="仿宋" w:hAnsi="仿宋" w:eastAsia="仿宋" w:cs="仿宋"/>
          <w:color w:val="auto"/>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2.调研</w:t>
      </w:r>
      <w:r>
        <w:rPr>
          <w:rFonts w:hint="eastAsia" w:ascii="仿宋" w:hAnsi="仿宋" w:eastAsia="仿宋" w:cs="仿宋"/>
          <w:color w:val="auto"/>
          <w:sz w:val="28"/>
          <w:szCs w:val="28"/>
          <w:highlight w:val="none"/>
        </w:rPr>
        <w:t>材料递交截止时间：202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20</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至</w:t>
      </w:r>
      <w:r>
        <w:rPr>
          <w:rFonts w:hint="eastAsia" w:ascii="仿宋" w:hAnsi="仿宋" w:eastAsia="仿宋" w:cs="仿宋"/>
          <w:color w:val="auto"/>
          <w:sz w:val="28"/>
          <w:szCs w:val="28"/>
          <w:highlight w:val="none"/>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24</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rPr>
        <w:t>时前。</w:t>
      </w:r>
    </w:p>
    <w:p>
      <w:pPr>
        <w:keepNext w:val="0"/>
        <w:keepLines w:val="0"/>
        <w:pageBreakBefore w:val="0"/>
        <w:widowControl w:val="0"/>
        <w:kinsoku/>
        <w:wordWrap/>
        <w:overflowPunct/>
        <w:topLinePunct w:val="0"/>
        <w:autoSpaceDE/>
        <w:autoSpaceDN/>
        <w:bidi w:val="0"/>
        <w:adjustRightInd/>
        <w:snapToGrid w:val="0"/>
        <w:spacing w:line="460" w:lineRule="exact"/>
        <w:ind w:firstLine="562" w:firstLineChars="200"/>
        <w:jc w:val="left"/>
        <w:textAlignment w:val="auto"/>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五、需求调查声明</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1.本次需求调查坚持公平、公正、公开原则。</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2.市场主体应对其所提供的意见及相关材料的真实性、准确性负责。</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3.市场主体针对本项目提供的反馈意见，仅作为确定合理采购需求的参考，如被采纳将直接体现在后续招标采购文件中，采购单位和咨询机构在本次需求调查过程中不向参与调查的市场主体收取或支付任何费用。</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4.本次调查仅为信息收集，不构成任何形式的承诺、合同或采购行为，本项目后续将按照政府采购法律法规规定开展采购活动。</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5.凡参加本次需求调查的市场主体均视为同意并接受上述声明。</w:t>
      </w:r>
    </w:p>
    <w:p>
      <w:pPr>
        <w:keepNext w:val="0"/>
        <w:keepLines w:val="0"/>
        <w:pageBreakBefore w:val="0"/>
        <w:widowControl w:val="0"/>
        <w:kinsoku/>
        <w:wordWrap/>
        <w:overflowPunct/>
        <w:topLinePunct w:val="0"/>
        <w:autoSpaceDE/>
        <w:autoSpaceDN/>
        <w:bidi w:val="0"/>
        <w:adjustRightInd/>
        <w:snapToGrid w:val="0"/>
        <w:spacing w:line="460" w:lineRule="exact"/>
        <w:ind w:firstLine="562" w:firstLineChars="200"/>
        <w:jc w:val="left"/>
        <w:textAlignment w:val="auto"/>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六、公告发布媒体</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桂林市中西医结合医院官网</w:t>
      </w:r>
    </w:p>
    <w:p>
      <w:pPr>
        <w:keepNext w:val="0"/>
        <w:keepLines w:val="0"/>
        <w:pageBreakBefore w:val="0"/>
        <w:widowControl w:val="0"/>
        <w:kinsoku/>
        <w:wordWrap/>
        <w:overflowPunct/>
        <w:topLinePunct w:val="0"/>
        <w:autoSpaceDE/>
        <w:autoSpaceDN/>
        <w:bidi w:val="0"/>
        <w:adjustRightInd/>
        <w:snapToGrid w:val="0"/>
        <w:spacing w:line="460" w:lineRule="exact"/>
        <w:ind w:firstLine="562" w:firstLineChars="200"/>
        <w:jc w:val="left"/>
        <w:textAlignment w:val="auto"/>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七、联系方式</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联系人：</w:t>
      </w:r>
      <w:r>
        <w:rPr>
          <w:rFonts w:hint="eastAsia" w:ascii="仿宋" w:hAnsi="仿宋" w:eastAsia="仿宋" w:cs="仿宋"/>
          <w:color w:val="auto"/>
          <w:sz w:val="28"/>
          <w:szCs w:val="28"/>
          <w:highlight w:val="none"/>
          <w:lang w:val="en-US" w:eastAsia="zh-CN"/>
        </w:rPr>
        <w:t>杨老师</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lang w:val="en-US" w:eastAsia="zh-CN"/>
        </w:rPr>
        <w:t>17777379199</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时间：2026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20</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snapToGrid w:val="0"/>
        <w:spacing w:line="460" w:lineRule="exact"/>
        <w:ind w:firstLine="5600" w:firstLineChars="20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桂林市中西医结合医院</w:t>
      </w:r>
    </w:p>
    <w:p>
      <w:pPr>
        <w:keepNext w:val="0"/>
        <w:keepLines w:val="0"/>
        <w:pageBreakBefore w:val="0"/>
        <w:widowControl w:val="0"/>
        <w:kinsoku/>
        <w:wordWrap/>
        <w:overflowPunct/>
        <w:topLinePunct w:val="0"/>
        <w:autoSpaceDE/>
        <w:autoSpaceDN/>
        <w:bidi w:val="0"/>
        <w:adjustRightInd/>
        <w:snapToGrid w:val="0"/>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20</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jc w:val="left"/>
        <w:textAlignment w:val="auto"/>
        <w:rPr>
          <w:rFonts w:hint="eastAsia" w:ascii="仿宋" w:hAnsi="仿宋" w:eastAsia="仿宋" w:cs="仿宋"/>
          <w:color w:val="auto"/>
          <w:sz w:val="28"/>
          <w:szCs w:val="28"/>
          <w:highlight w:val="none"/>
        </w:rPr>
      </w:pP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jc w:val="left"/>
        <w:textAlignment w:val="auto"/>
        <w:rPr>
          <w:rFonts w:hint="eastAsia" w:ascii="仿宋" w:hAnsi="仿宋" w:eastAsia="仿宋" w:cs="仿宋"/>
          <w:color w:val="auto"/>
          <w:sz w:val="28"/>
          <w:szCs w:val="28"/>
          <w:highlight w:val="none"/>
        </w:rPr>
      </w:pPr>
    </w:p>
    <w:p>
      <w:pPr>
        <w:widowControl/>
        <w:jc w:val="left"/>
        <w:rPr>
          <w:rFonts w:hint="eastAsia" w:ascii="仿宋_GB2312" w:hAnsi="仿宋_GB2312" w:eastAsia="仿宋_GB2312" w:cs="仿宋_GB2312"/>
          <w:b/>
          <w:kern w:val="0"/>
          <w:sz w:val="28"/>
          <w:szCs w:val="28"/>
        </w:rPr>
      </w:pPr>
    </w:p>
    <w:p>
      <w:pPr>
        <w:widowControl/>
        <w:jc w:val="left"/>
        <w:rPr>
          <w:rFonts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附件</w:t>
      </w:r>
      <w:r>
        <w:rPr>
          <w:rFonts w:hint="eastAsia" w:ascii="仿宋_GB2312" w:hAnsi="仿宋_GB2312" w:eastAsia="仿宋_GB2312" w:cs="仿宋_GB2312"/>
          <w:b/>
          <w:kern w:val="0"/>
          <w:sz w:val="28"/>
          <w:szCs w:val="28"/>
          <w:lang w:val="en-US" w:eastAsia="zh-CN"/>
        </w:rPr>
        <w:t>1</w:t>
      </w:r>
      <w:r>
        <w:rPr>
          <w:rFonts w:hint="eastAsia" w:ascii="仿宋_GB2312" w:hAnsi="仿宋_GB2312" w:eastAsia="仿宋_GB2312" w:cs="仿宋_GB2312"/>
          <w:b/>
          <w:kern w:val="0"/>
          <w:sz w:val="28"/>
          <w:szCs w:val="28"/>
        </w:rPr>
        <w:t>：</w:t>
      </w:r>
    </w:p>
    <w:p>
      <w:pPr>
        <w:jc w:val="center"/>
        <w:rPr>
          <w:rFonts w:ascii="Arial" w:hAnsi="Arial" w:cs="Arial"/>
          <w:b/>
          <w:sz w:val="30"/>
          <w:szCs w:val="30"/>
        </w:rPr>
      </w:pPr>
      <w:r>
        <w:rPr>
          <w:rFonts w:hint="eastAsia" w:ascii="Arial" w:hAnsi="Arial" w:cs="Arial"/>
          <w:b/>
          <w:sz w:val="30"/>
          <w:szCs w:val="30"/>
          <w:lang w:val="en-US" w:eastAsia="zh-CN"/>
        </w:rPr>
        <w:t>桂林市中西医结合医院</w:t>
      </w:r>
      <w:r>
        <w:rPr>
          <w:rFonts w:hint="eastAsia" w:ascii="Arial" w:hAnsi="Arial" w:cs="Arial"/>
          <w:b/>
          <w:sz w:val="30"/>
          <w:szCs w:val="30"/>
          <w:lang w:eastAsia="zh-CN"/>
        </w:rPr>
        <w:t>市场调研</w:t>
      </w:r>
      <w:r>
        <w:rPr>
          <w:rFonts w:ascii="Arial" w:hAnsi="Arial" w:cs="Arial"/>
          <w:b/>
          <w:sz w:val="30"/>
          <w:szCs w:val="30"/>
        </w:rPr>
        <w:t>报名表</w:t>
      </w:r>
    </w:p>
    <w:tbl>
      <w:tblPr>
        <w:tblStyle w:val="11"/>
        <w:tblW w:w="9719"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2848"/>
        <w:gridCol w:w="1911"/>
        <w:gridCol w:w="2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203"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投标</w:t>
            </w:r>
            <w:r>
              <w:rPr>
                <w:rFonts w:hint="eastAsia" w:ascii="仿宋" w:hAnsi="仿宋" w:eastAsia="仿宋" w:cs="仿宋"/>
                <w:kern w:val="0"/>
                <w:sz w:val="28"/>
                <w:szCs w:val="28"/>
                <w:lang w:eastAsia="zh-CN"/>
              </w:rPr>
              <w:t>单位</w:t>
            </w:r>
            <w:r>
              <w:rPr>
                <w:rFonts w:hint="eastAsia" w:ascii="仿宋" w:hAnsi="仿宋" w:eastAsia="仿宋" w:cs="仿宋"/>
                <w:kern w:val="0"/>
                <w:sz w:val="28"/>
                <w:szCs w:val="28"/>
              </w:rPr>
              <w:t>名称</w:t>
            </w:r>
          </w:p>
        </w:tc>
        <w:tc>
          <w:tcPr>
            <w:tcW w:w="7516" w:type="dxa"/>
            <w:gridSpan w:val="3"/>
            <w:vAlign w:val="center"/>
          </w:tcPr>
          <w:p>
            <w:pPr>
              <w:jc w:val="center"/>
              <w:rPr>
                <w:rFonts w:hint="eastAsia" w:ascii="仿宋" w:hAnsi="仿宋" w:eastAsia="仿宋" w:cs="仿宋"/>
                <w:kern w:val="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203"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项目名称</w:t>
            </w:r>
          </w:p>
        </w:tc>
        <w:tc>
          <w:tcPr>
            <w:tcW w:w="7516" w:type="dxa"/>
            <w:gridSpan w:val="3"/>
            <w:vAlign w:val="center"/>
          </w:tcPr>
          <w:p>
            <w:pPr>
              <w:jc w:val="center"/>
              <w:rPr>
                <w:rFonts w:hint="eastAsia" w:ascii="仿宋" w:hAnsi="仿宋" w:eastAsia="仿宋" w:cs="仿宋"/>
                <w:kern w:val="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6" w:hRule="atLeast"/>
        </w:trPr>
        <w:tc>
          <w:tcPr>
            <w:tcW w:w="2203"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报名时间</w:t>
            </w:r>
          </w:p>
        </w:tc>
        <w:tc>
          <w:tcPr>
            <w:tcW w:w="7516" w:type="dxa"/>
            <w:gridSpan w:val="3"/>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 xml:space="preserve">年  </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2203"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纳税人识别号</w:t>
            </w:r>
          </w:p>
        </w:tc>
        <w:tc>
          <w:tcPr>
            <w:tcW w:w="7516" w:type="dxa"/>
            <w:gridSpan w:val="3"/>
            <w:vAlign w:val="center"/>
          </w:tcPr>
          <w:p>
            <w:pPr>
              <w:jc w:val="center"/>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203" w:type="dxa"/>
            <w:vMerge w:val="restart"/>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联系方式</w:t>
            </w:r>
          </w:p>
        </w:tc>
        <w:tc>
          <w:tcPr>
            <w:tcW w:w="2848" w:type="dxa"/>
            <w:vMerge w:val="restart"/>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sym w:font="Wingdings 2" w:char="00A3"/>
            </w:r>
            <w:r>
              <w:rPr>
                <w:rFonts w:hint="eastAsia" w:ascii="仿宋" w:hAnsi="仿宋" w:eastAsia="仿宋" w:cs="仿宋"/>
                <w:kern w:val="0"/>
                <w:sz w:val="28"/>
                <w:szCs w:val="28"/>
              </w:rPr>
              <w:t>企业法人代表</w:t>
            </w:r>
          </w:p>
          <w:p>
            <w:pPr>
              <w:ind w:firstLine="560" w:firstLineChars="200"/>
              <w:jc w:val="both"/>
              <w:rPr>
                <w:rFonts w:hint="eastAsia" w:ascii="仿宋" w:hAnsi="仿宋" w:eastAsia="仿宋" w:cs="仿宋"/>
                <w:kern w:val="0"/>
                <w:sz w:val="28"/>
                <w:szCs w:val="28"/>
              </w:rPr>
            </w:pPr>
            <w:r>
              <w:rPr>
                <w:rFonts w:hint="eastAsia" w:ascii="仿宋" w:hAnsi="仿宋" w:eastAsia="仿宋" w:cs="仿宋"/>
                <w:kern w:val="0"/>
                <w:sz w:val="28"/>
                <w:szCs w:val="28"/>
              </w:rPr>
              <w:t>□授权代表</w:t>
            </w:r>
          </w:p>
        </w:tc>
        <w:tc>
          <w:tcPr>
            <w:tcW w:w="1911"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姓名</w:t>
            </w:r>
          </w:p>
        </w:tc>
        <w:tc>
          <w:tcPr>
            <w:tcW w:w="2757" w:type="dxa"/>
            <w:vAlign w:val="center"/>
          </w:tcPr>
          <w:p>
            <w:pPr>
              <w:jc w:val="center"/>
              <w:rPr>
                <w:rFonts w:hint="eastAsia" w:ascii="仿宋" w:hAnsi="仿宋" w:eastAsia="仿宋" w:cs="仿宋"/>
                <w:kern w:val="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2203" w:type="dxa"/>
            <w:vMerge w:val="continue"/>
            <w:vAlign w:val="center"/>
          </w:tcPr>
          <w:p>
            <w:pPr>
              <w:jc w:val="center"/>
              <w:rPr>
                <w:rFonts w:hint="eastAsia" w:ascii="仿宋" w:hAnsi="仿宋" w:eastAsia="仿宋" w:cs="仿宋"/>
                <w:kern w:val="0"/>
                <w:sz w:val="28"/>
                <w:szCs w:val="28"/>
              </w:rPr>
            </w:pPr>
          </w:p>
        </w:tc>
        <w:tc>
          <w:tcPr>
            <w:tcW w:w="2848" w:type="dxa"/>
            <w:vMerge w:val="continue"/>
            <w:vAlign w:val="center"/>
          </w:tcPr>
          <w:p>
            <w:pPr>
              <w:jc w:val="center"/>
              <w:rPr>
                <w:rFonts w:hint="eastAsia" w:ascii="仿宋" w:hAnsi="仿宋" w:eastAsia="仿宋" w:cs="仿宋"/>
                <w:kern w:val="0"/>
                <w:sz w:val="28"/>
                <w:szCs w:val="28"/>
              </w:rPr>
            </w:pPr>
          </w:p>
        </w:tc>
        <w:tc>
          <w:tcPr>
            <w:tcW w:w="1911"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身份证号码</w:t>
            </w:r>
          </w:p>
        </w:tc>
        <w:tc>
          <w:tcPr>
            <w:tcW w:w="2757" w:type="dxa"/>
            <w:vAlign w:val="center"/>
          </w:tcPr>
          <w:p>
            <w:pPr>
              <w:jc w:val="center"/>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2203" w:type="dxa"/>
            <w:vMerge w:val="continue"/>
            <w:vAlign w:val="center"/>
          </w:tcPr>
          <w:p>
            <w:pPr>
              <w:jc w:val="center"/>
              <w:rPr>
                <w:rFonts w:hint="eastAsia" w:ascii="仿宋" w:hAnsi="仿宋" w:eastAsia="仿宋" w:cs="仿宋"/>
                <w:kern w:val="0"/>
                <w:sz w:val="28"/>
                <w:szCs w:val="28"/>
              </w:rPr>
            </w:pPr>
          </w:p>
        </w:tc>
        <w:tc>
          <w:tcPr>
            <w:tcW w:w="2848" w:type="dxa"/>
            <w:vMerge w:val="continue"/>
            <w:vAlign w:val="center"/>
          </w:tcPr>
          <w:p>
            <w:pPr>
              <w:jc w:val="center"/>
              <w:rPr>
                <w:rFonts w:hint="eastAsia" w:ascii="仿宋" w:hAnsi="仿宋" w:eastAsia="仿宋" w:cs="仿宋"/>
                <w:kern w:val="0"/>
                <w:sz w:val="28"/>
                <w:szCs w:val="28"/>
              </w:rPr>
            </w:pPr>
          </w:p>
        </w:tc>
        <w:tc>
          <w:tcPr>
            <w:tcW w:w="1911"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手机</w:t>
            </w:r>
          </w:p>
        </w:tc>
        <w:tc>
          <w:tcPr>
            <w:tcW w:w="2757" w:type="dxa"/>
            <w:vAlign w:val="center"/>
          </w:tcPr>
          <w:p>
            <w:pPr>
              <w:jc w:val="center"/>
              <w:rPr>
                <w:rFonts w:hint="eastAsia" w:ascii="仿宋" w:hAnsi="仿宋" w:eastAsia="仿宋" w:cs="仿宋"/>
                <w:kern w:val="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2203" w:type="dxa"/>
            <w:vMerge w:val="continue"/>
            <w:vAlign w:val="center"/>
          </w:tcPr>
          <w:p>
            <w:pPr>
              <w:jc w:val="center"/>
              <w:rPr>
                <w:rFonts w:hint="eastAsia" w:ascii="仿宋" w:hAnsi="仿宋" w:eastAsia="仿宋" w:cs="仿宋"/>
                <w:kern w:val="0"/>
                <w:sz w:val="28"/>
                <w:szCs w:val="28"/>
              </w:rPr>
            </w:pPr>
          </w:p>
        </w:tc>
        <w:tc>
          <w:tcPr>
            <w:tcW w:w="2848" w:type="dxa"/>
            <w:vMerge w:val="continue"/>
            <w:vAlign w:val="center"/>
          </w:tcPr>
          <w:p>
            <w:pPr>
              <w:jc w:val="center"/>
              <w:rPr>
                <w:rFonts w:hint="eastAsia" w:ascii="仿宋" w:hAnsi="仿宋" w:eastAsia="仿宋" w:cs="仿宋"/>
                <w:kern w:val="0"/>
                <w:sz w:val="28"/>
                <w:szCs w:val="28"/>
              </w:rPr>
            </w:pPr>
          </w:p>
        </w:tc>
        <w:tc>
          <w:tcPr>
            <w:tcW w:w="1911" w:type="dxa"/>
            <w:vAlign w:val="center"/>
          </w:tcPr>
          <w:p>
            <w:pPr>
              <w:jc w:val="center"/>
              <w:rPr>
                <w:rFonts w:hint="eastAsia" w:ascii="仿宋" w:hAnsi="仿宋" w:eastAsia="仿宋" w:cs="仿宋"/>
                <w:kern w:val="0"/>
                <w:sz w:val="28"/>
                <w:szCs w:val="28"/>
              </w:rPr>
            </w:pPr>
            <w:r>
              <w:rPr>
                <w:rFonts w:hint="eastAsia" w:ascii="仿宋" w:hAnsi="仿宋" w:eastAsia="仿宋" w:cs="仿宋"/>
                <w:kern w:val="0"/>
                <w:sz w:val="28"/>
                <w:szCs w:val="28"/>
              </w:rPr>
              <w:t>邮箱</w:t>
            </w:r>
          </w:p>
        </w:tc>
        <w:tc>
          <w:tcPr>
            <w:tcW w:w="2757" w:type="dxa"/>
            <w:vAlign w:val="center"/>
          </w:tcPr>
          <w:p>
            <w:pPr>
              <w:jc w:val="center"/>
              <w:rPr>
                <w:rFonts w:hint="eastAsia" w:ascii="仿宋" w:hAnsi="仿宋" w:eastAsia="仿宋" w:cs="仿宋"/>
                <w:kern w:val="0"/>
                <w:sz w:val="28"/>
                <w:szCs w:val="28"/>
              </w:rPr>
            </w:pPr>
          </w:p>
        </w:tc>
      </w:tr>
    </w:tbl>
    <w:p>
      <w:pPr>
        <w:keepNext w:val="0"/>
        <w:keepLines w:val="0"/>
        <w:widowControl w:val="0"/>
        <w:suppressLineNumbers w:val="0"/>
        <w:autoSpaceDE w:val="0"/>
        <w:autoSpaceDN/>
        <w:spacing w:before="100" w:beforeAutospacing="1" w:after="0" w:afterAutospacing="0" w:line="560" w:lineRule="exact"/>
        <w:ind w:left="0" w:right="0"/>
        <w:jc w:val="left"/>
        <w:rPr>
          <w:rFonts w:hint="eastAsia" w:ascii="仿宋" w:hAnsi="仿宋" w:eastAsia="仿宋" w:cs="仿宋"/>
          <w:kern w:val="2"/>
          <w:sz w:val="28"/>
          <w:szCs w:val="28"/>
          <w:lang w:val="en-US" w:eastAsia="zh-CN" w:bidi="ar"/>
        </w:rPr>
      </w:pPr>
    </w:p>
    <w:p>
      <w:pPr>
        <w:keepNext w:val="0"/>
        <w:keepLines w:val="0"/>
        <w:widowControl w:val="0"/>
        <w:suppressLineNumbers w:val="0"/>
        <w:autoSpaceDE w:val="0"/>
        <w:autoSpaceDN/>
        <w:spacing w:before="100" w:beforeAutospacing="1" w:after="0" w:afterAutospacing="0" w:line="560" w:lineRule="exact"/>
        <w:ind w:left="0" w:right="0"/>
        <w:jc w:val="left"/>
        <w:rPr>
          <w:rFonts w:hint="eastAsia" w:ascii="仿宋" w:hAnsi="仿宋" w:eastAsia="仿宋" w:cs="仿宋"/>
          <w:kern w:val="2"/>
          <w:sz w:val="28"/>
          <w:szCs w:val="28"/>
          <w:lang w:val="en-US" w:eastAsia="zh-CN" w:bidi="ar"/>
        </w:rPr>
      </w:pPr>
    </w:p>
    <w:p>
      <w:pPr>
        <w:keepNext w:val="0"/>
        <w:keepLines w:val="0"/>
        <w:widowControl w:val="0"/>
        <w:suppressLineNumbers w:val="0"/>
        <w:autoSpaceDE w:val="0"/>
        <w:autoSpaceDN/>
        <w:spacing w:before="100" w:beforeAutospacing="1" w:after="0" w:afterAutospacing="0" w:line="560" w:lineRule="exact"/>
        <w:ind w:left="0" w:right="0"/>
        <w:jc w:val="left"/>
        <w:rPr>
          <w:rFonts w:hint="eastAsia" w:ascii="仿宋" w:hAnsi="仿宋" w:eastAsia="仿宋" w:cs="仿宋"/>
          <w:kern w:val="2"/>
          <w:sz w:val="28"/>
          <w:szCs w:val="28"/>
          <w:lang w:val="en-US" w:eastAsia="zh-CN" w:bidi="ar"/>
        </w:rPr>
      </w:pPr>
    </w:p>
    <w:p>
      <w:pPr>
        <w:keepNext w:val="0"/>
        <w:keepLines w:val="0"/>
        <w:widowControl w:val="0"/>
        <w:suppressLineNumbers w:val="0"/>
        <w:autoSpaceDE w:val="0"/>
        <w:autoSpaceDN/>
        <w:spacing w:before="100" w:beforeAutospacing="1" w:after="0" w:afterAutospacing="0" w:line="560" w:lineRule="exact"/>
        <w:ind w:left="0" w:right="0"/>
        <w:jc w:val="left"/>
        <w:rPr>
          <w:rFonts w:hint="eastAsia"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
        </w:rPr>
        <w:t>附件2</w:t>
      </w:r>
    </w:p>
    <w:p>
      <w:pPr>
        <w:widowControl/>
        <w:jc w:val="center"/>
        <w:rPr>
          <w:rFonts w:hint="default"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rPr>
        <w:t>报价表</w:t>
      </w:r>
    </w:p>
    <w:p>
      <w:pPr>
        <w:widowControl/>
        <w:ind w:firstLine="6957" w:firstLineChars="3300"/>
        <w:jc w:val="left"/>
        <w:rPr>
          <w:rFonts w:hint="eastAsia"/>
          <w:lang w:val="en-US" w:eastAsia="zh-CN"/>
        </w:rPr>
      </w:pPr>
      <w:r>
        <w:rPr>
          <w:rFonts w:hint="eastAsia" w:ascii="仿宋_GB2312" w:hAnsi="仿宋_GB2312" w:eastAsia="仿宋_GB2312" w:cs="仿宋_GB2312"/>
          <w:b/>
          <w:bCs/>
          <w:kern w:val="0"/>
          <w:sz w:val="21"/>
          <w:szCs w:val="21"/>
          <w:lang w:eastAsia="zh-CN"/>
        </w:rPr>
        <w:t>单位：万元</w:t>
      </w:r>
    </w:p>
    <w:tbl>
      <w:tblPr>
        <w:tblStyle w:val="11"/>
        <w:tblW w:w="9852" w:type="dxa"/>
        <w:tblInd w:w="-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2522"/>
        <w:gridCol w:w="1260"/>
        <w:gridCol w:w="1335"/>
        <w:gridCol w:w="945"/>
        <w:gridCol w:w="1110"/>
        <w:gridCol w:w="1065"/>
        <w:gridCol w:w="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30" w:type="dxa"/>
            <w:vAlign w:val="center"/>
          </w:tcPr>
          <w:p>
            <w:pPr>
              <w:jc w:val="center"/>
              <w:rPr>
                <w:rFonts w:hint="default" w:ascii="仿宋" w:hAnsi="仿宋" w:eastAsia="仿宋" w:cs="仿宋"/>
                <w:b/>
                <w:bCs/>
                <w:kern w:val="2"/>
                <w:sz w:val="24"/>
                <w:szCs w:val="24"/>
                <w:vertAlign w:val="baseline"/>
                <w:lang w:val="en-US" w:eastAsia="zh-CN" w:bidi="ar-SA"/>
              </w:rPr>
            </w:pPr>
            <w:r>
              <w:rPr>
                <w:rFonts w:hint="eastAsia" w:ascii="仿宋" w:hAnsi="仿宋" w:eastAsia="仿宋" w:cs="仿宋"/>
                <w:b/>
                <w:bCs/>
                <w:kern w:val="2"/>
                <w:sz w:val="24"/>
                <w:szCs w:val="24"/>
                <w:vertAlign w:val="baseline"/>
                <w:lang w:val="en-US" w:eastAsia="zh-CN" w:bidi="ar-SA"/>
              </w:rPr>
              <w:t>序号</w:t>
            </w:r>
          </w:p>
        </w:tc>
        <w:tc>
          <w:tcPr>
            <w:tcW w:w="2522" w:type="dxa"/>
            <w:vAlign w:val="center"/>
          </w:tcPr>
          <w:p>
            <w:pPr>
              <w:jc w:val="center"/>
              <w:rPr>
                <w:rFonts w:hint="default" w:ascii="仿宋" w:hAnsi="仿宋" w:eastAsia="仿宋" w:cs="仿宋"/>
                <w:b/>
                <w:bCs/>
                <w:kern w:val="2"/>
                <w:sz w:val="24"/>
                <w:szCs w:val="24"/>
                <w:vertAlign w:val="baseline"/>
                <w:lang w:val="en-US" w:eastAsia="zh-CN" w:bidi="ar-SA"/>
              </w:rPr>
            </w:pPr>
            <w:r>
              <w:rPr>
                <w:rFonts w:hint="eastAsia" w:ascii="仿宋" w:hAnsi="仿宋" w:eastAsia="仿宋" w:cs="仿宋"/>
                <w:b/>
                <w:bCs/>
                <w:kern w:val="2"/>
                <w:sz w:val="24"/>
                <w:szCs w:val="24"/>
                <w:vertAlign w:val="baseline"/>
                <w:lang w:val="en-US" w:eastAsia="zh-CN" w:bidi="ar-SA"/>
              </w:rPr>
              <w:t>设备名称</w:t>
            </w:r>
          </w:p>
        </w:tc>
        <w:tc>
          <w:tcPr>
            <w:tcW w:w="1260" w:type="dxa"/>
            <w:vAlign w:val="center"/>
          </w:tcPr>
          <w:p>
            <w:pPr>
              <w:jc w:val="center"/>
              <w:rPr>
                <w:rFonts w:hint="default" w:ascii="仿宋" w:hAnsi="仿宋" w:eastAsia="仿宋" w:cs="仿宋"/>
                <w:b/>
                <w:bCs/>
                <w:kern w:val="2"/>
                <w:sz w:val="24"/>
                <w:szCs w:val="24"/>
                <w:vertAlign w:val="baseline"/>
                <w:lang w:val="en-US" w:eastAsia="zh-CN" w:bidi="ar-SA"/>
              </w:rPr>
            </w:pPr>
            <w:r>
              <w:rPr>
                <w:rFonts w:hint="eastAsia" w:ascii="仿宋" w:hAnsi="仿宋" w:eastAsia="仿宋" w:cs="仿宋"/>
                <w:b/>
                <w:bCs/>
                <w:kern w:val="2"/>
                <w:sz w:val="24"/>
                <w:szCs w:val="24"/>
                <w:vertAlign w:val="baseline"/>
                <w:lang w:val="en-US" w:eastAsia="zh-CN" w:bidi="ar-SA"/>
              </w:rPr>
              <w:t>数量</w:t>
            </w:r>
          </w:p>
        </w:tc>
        <w:tc>
          <w:tcPr>
            <w:tcW w:w="1335" w:type="dxa"/>
            <w:vAlign w:val="center"/>
          </w:tcPr>
          <w:p>
            <w:pPr>
              <w:jc w:val="center"/>
              <w:rPr>
                <w:rFonts w:hint="default"/>
                <w:szCs w:val="22"/>
                <w:lang w:val="en-US" w:eastAsia="zh-CN"/>
              </w:rPr>
            </w:pPr>
            <w:r>
              <w:rPr>
                <w:rFonts w:hint="eastAsia" w:ascii="仿宋" w:hAnsi="仿宋" w:eastAsia="仿宋" w:cs="仿宋"/>
                <w:b/>
                <w:bCs/>
                <w:kern w:val="2"/>
                <w:sz w:val="24"/>
                <w:szCs w:val="24"/>
                <w:vertAlign w:val="baseline"/>
                <w:lang w:val="en-US" w:eastAsia="zh-CN" w:bidi="ar-SA"/>
              </w:rPr>
              <w:t>生产厂家</w:t>
            </w:r>
          </w:p>
        </w:tc>
        <w:tc>
          <w:tcPr>
            <w:tcW w:w="945" w:type="dxa"/>
            <w:vAlign w:val="center"/>
          </w:tcPr>
          <w:p>
            <w:pPr>
              <w:jc w:val="center"/>
              <w:rPr>
                <w:rFonts w:hint="default" w:ascii="仿宋" w:hAnsi="仿宋" w:eastAsia="仿宋" w:cs="仿宋"/>
                <w:b/>
                <w:bCs/>
                <w:kern w:val="2"/>
                <w:sz w:val="24"/>
                <w:szCs w:val="24"/>
                <w:vertAlign w:val="baseline"/>
                <w:lang w:val="en-US" w:eastAsia="zh-CN" w:bidi="ar-SA"/>
              </w:rPr>
            </w:pPr>
            <w:r>
              <w:rPr>
                <w:rFonts w:hint="eastAsia" w:ascii="仿宋" w:hAnsi="仿宋" w:eastAsia="仿宋" w:cs="仿宋"/>
                <w:b/>
                <w:bCs/>
                <w:kern w:val="2"/>
                <w:sz w:val="24"/>
                <w:szCs w:val="24"/>
                <w:vertAlign w:val="baseline"/>
                <w:lang w:val="en-US" w:eastAsia="zh-CN" w:bidi="ar-SA"/>
              </w:rPr>
              <w:t>型号</w:t>
            </w:r>
          </w:p>
        </w:tc>
        <w:tc>
          <w:tcPr>
            <w:tcW w:w="1110" w:type="dxa"/>
            <w:vAlign w:val="center"/>
          </w:tcPr>
          <w:p>
            <w:pPr>
              <w:jc w:val="center"/>
              <w:rPr>
                <w:rFonts w:hint="default" w:ascii="仿宋" w:hAnsi="仿宋" w:eastAsia="仿宋" w:cs="仿宋"/>
                <w:b/>
                <w:bCs/>
                <w:kern w:val="2"/>
                <w:sz w:val="24"/>
                <w:szCs w:val="24"/>
                <w:vertAlign w:val="baseline"/>
                <w:lang w:val="en-US" w:eastAsia="zh-CN" w:bidi="ar-SA"/>
              </w:rPr>
            </w:pPr>
            <w:r>
              <w:rPr>
                <w:rFonts w:hint="eastAsia" w:ascii="仿宋" w:hAnsi="仿宋" w:eastAsia="仿宋" w:cs="仿宋"/>
                <w:b/>
                <w:bCs/>
                <w:kern w:val="2"/>
                <w:sz w:val="24"/>
                <w:szCs w:val="24"/>
                <w:vertAlign w:val="baseline"/>
                <w:lang w:val="en-US" w:eastAsia="zh-CN" w:bidi="ar-SA"/>
              </w:rPr>
              <w:t>单价</w:t>
            </w:r>
          </w:p>
        </w:tc>
        <w:tc>
          <w:tcPr>
            <w:tcW w:w="1065" w:type="dxa"/>
            <w:vAlign w:val="center"/>
          </w:tcPr>
          <w:p>
            <w:pPr>
              <w:jc w:val="center"/>
              <w:rPr>
                <w:rFonts w:hint="eastAsia" w:ascii="仿宋" w:hAnsi="仿宋" w:eastAsia="仿宋" w:cs="仿宋"/>
                <w:b/>
                <w:bCs/>
                <w:kern w:val="2"/>
                <w:sz w:val="24"/>
                <w:szCs w:val="24"/>
                <w:vertAlign w:val="baseline"/>
                <w:lang w:val="en-US" w:eastAsia="zh-CN" w:bidi="ar-SA"/>
              </w:rPr>
            </w:pPr>
            <w:r>
              <w:rPr>
                <w:rFonts w:hint="eastAsia" w:ascii="仿宋" w:hAnsi="仿宋" w:eastAsia="仿宋" w:cs="仿宋"/>
                <w:b/>
                <w:bCs/>
                <w:kern w:val="2"/>
                <w:sz w:val="24"/>
                <w:szCs w:val="24"/>
                <w:vertAlign w:val="baseline"/>
                <w:lang w:val="en-US" w:eastAsia="zh-CN" w:bidi="ar-SA"/>
              </w:rPr>
              <w:t>总价</w:t>
            </w:r>
          </w:p>
        </w:tc>
        <w:tc>
          <w:tcPr>
            <w:tcW w:w="885" w:type="dxa"/>
            <w:vAlign w:val="center"/>
          </w:tcPr>
          <w:p>
            <w:pPr>
              <w:jc w:val="center"/>
              <w:rPr>
                <w:rFonts w:hint="eastAsia" w:ascii="仿宋" w:hAnsi="仿宋" w:eastAsia="仿宋" w:cs="仿宋"/>
                <w:b/>
                <w:bCs/>
                <w:kern w:val="2"/>
                <w:sz w:val="24"/>
                <w:szCs w:val="24"/>
                <w:vertAlign w:val="baseline"/>
                <w:lang w:val="en-US" w:eastAsia="zh-CN" w:bidi="ar-SA"/>
              </w:rPr>
            </w:pPr>
            <w:r>
              <w:rPr>
                <w:rFonts w:hint="eastAsia" w:ascii="仿宋" w:hAnsi="仿宋" w:eastAsia="仿宋" w:cs="仿宋"/>
                <w:b/>
                <w:bCs/>
                <w:kern w:val="2"/>
                <w:sz w:val="24"/>
                <w:szCs w:val="24"/>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2522" w:type="dxa"/>
            <w:vAlign w:val="center"/>
          </w:tcPr>
          <w:p>
            <w:pPr>
              <w:keepNext w:val="0"/>
              <w:keepLines w:val="0"/>
              <w:widowControl/>
              <w:suppressLineNumbers w:val="0"/>
              <w:jc w:val="center"/>
              <w:textAlignment w:val="center"/>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302010"/>
                <w:kern w:val="0"/>
                <w:sz w:val="20"/>
                <w:szCs w:val="20"/>
                <w:u w:val="none"/>
                <w:lang w:val="en-US" w:eastAsia="zh-CN" w:bidi="ar"/>
              </w:rPr>
              <w:t>手指手套训练仪(便携)</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206070"/>
                <w:kern w:val="0"/>
                <w:sz w:val="20"/>
                <w:szCs w:val="20"/>
                <w:u w:val="none"/>
                <w:lang w:val="en-US" w:eastAsia="zh-CN" w:bidi="ar"/>
              </w:rPr>
              <w:t xml:space="preserve">10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2</w:t>
            </w:r>
          </w:p>
        </w:tc>
        <w:tc>
          <w:tcPr>
            <w:tcW w:w="2522" w:type="dxa"/>
            <w:vAlign w:val="center"/>
          </w:tcPr>
          <w:p>
            <w:pPr>
              <w:keepNext w:val="0"/>
              <w:keepLines w:val="0"/>
              <w:widowControl/>
              <w:suppressLineNumbers w:val="0"/>
              <w:jc w:val="center"/>
              <w:textAlignment w:val="center"/>
              <w:rPr>
                <w:rFonts w:hint="eastAsia" w:ascii="仿宋" w:hAnsi="仿宋" w:eastAsia="仿宋" w:cs="仿宋"/>
                <w:b w:val="0"/>
                <w:bCs w:val="0"/>
                <w:kern w:val="2"/>
                <w:sz w:val="24"/>
                <w:szCs w:val="24"/>
                <w:vertAlign w:val="baseline"/>
                <w:lang w:val="en-US" w:eastAsia="zh-CN" w:bidi="ar-SA"/>
              </w:rPr>
            </w:pPr>
            <w:r>
              <w:rPr>
                <w:rStyle w:val="16"/>
                <w:lang w:val="en-US" w:eastAsia="zh-CN" w:bidi="ar"/>
              </w:rPr>
              <w:t>CPM</w:t>
            </w:r>
            <w:r>
              <w:rPr>
                <w:rStyle w:val="17"/>
                <w:lang w:val="en-US" w:eastAsia="zh-CN" w:bidi="ar"/>
              </w:rPr>
              <w:t>(腕关节、肩关节各3)</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3</w:t>
            </w:r>
          </w:p>
        </w:tc>
        <w:tc>
          <w:tcPr>
            <w:tcW w:w="2522" w:type="dxa"/>
            <w:vAlign w:val="center"/>
          </w:tcPr>
          <w:p>
            <w:pPr>
              <w:keepNext w:val="0"/>
              <w:keepLines w:val="0"/>
              <w:widowControl/>
              <w:suppressLineNumbers w:val="0"/>
              <w:jc w:val="center"/>
              <w:textAlignment w:val="center"/>
              <w:rPr>
                <w:rFonts w:hint="eastAsia" w:ascii="仿宋" w:hAnsi="仿宋" w:eastAsia="仿宋" w:cs="仿宋"/>
                <w:b w:val="0"/>
                <w:bCs w:val="0"/>
                <w:kern w:val="2"/>
                <w:sz w:val="24"/>
                <w:szCs w:val="24"/>
                <w:vertAlign w:val="baseline"/>
                <w:lang w:val="en-US" w:eastAsia="zh-CN" w:bidi="ar-SA"/>
              </w:rPr>
            </w:pPr>
            <w:r>
              <w:rPr>
                <w:rStyle w:val="16"/>
                <w:lang w:val="en-US" w:eastAsia="zh-CN" w:bidi="ar"/>
              </w:rPr>
              <w:t>下肢</w:t>
            </w:r>
            <w:r>
              <w:rPr>
                <w:rStyle w:val="18"/>
                <w:lang w:val="en-US" w:eastAsia="zh-CN" w:bidi="ar"/>
              </w:rPr>
              <w:t>CPM</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4</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403020"/>
                <w:kern w:val="0"/>
                <w:sz w:val="20"/>
                <w:szCs w:val="20"/>
                <w:u w:val="none"/>
                <w:lang w:val="en-US" w:eastAsia="zh-CN" w:bidi="ar"/>
              </w:rPr>
              <w:t>康复训练床(普通)</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207090"/>
                <w:kern w:val="0"/>
                <w:sz w:val="20"/>
                <w:szCs w:val="20"/>
                <w:u w:val="none"/>
                <w:lang w:val="en-US" w:eastAsia="zh-CN" w:bidi="ar"/>
              </w:rPr>
              <w:t xml:space="preserve">2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5</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Style w:val="16"/>
                <w:lang w:val="en-US" w:eastAsia="zh-CN" w:bidi="ar"/>
              </w:rPr>
              <w:t>OT</w:t>
            </w:r>
            <w:r>
              <w:rPr>
                <w:rStyle w:val="19"/>
                <w:lang w:val="en-US" w:eastAsia="zh-CN" w:bidi="ar"/>
              </w:rPr>
              <w:t>桌</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207090"/>
                <w:kern w:val="0"/>
                <w:sz w:val="20"/>
                <w:szCs w:val="20"/>
                <w:u w:val="none"/>
                <w:lang w:val="en-US" w:eastAsia="zh-CN" w:bidi="ar"/>
              </w:rPr>
              <w:t xml:space="preserve">2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6</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气垫床</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206070"/>
                <w:kern w:val="0"/>
                <w:sz w:val="20"/>
                <w:szCs w:val="20"/>
                <w:u w:val="none"/>
                <w:lang w:val="en-US" w:eastAsia="zh-CN" w:bidi="ar"/>
              </w:rPr>
              <w:t xml:space="preserve">10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7</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作业综合训练箱(OT训练套餐)</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207090"/>
                <w:kern w:val="0"/>
                <w:sz w:val="20"/>
                <w:szCs w:val="20"/>
                <w:u w:val="none"/>
                <w:lang w:val="en-US" w:eastAsia="zh-CN" w:bidi="ar"/>
              </w:rPr>
              <w:t xml:space="preserve">2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3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2"/>
                <w:szCs w:val="22"/>
                <w:u w:val="none"/>
                <w:lang w:val="en-US" w:eastAsia="zh-CN" w:bidi="ar"/>
              </w:rPr>
              <w:t>8</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Style w:val="20"/>
                <w:lang w:val="en-US" w:eastAsia="zh-CN" w:bidi="ar"/>
              </w:rPr>
              <w:t>助行</w:t>
            </w:r>
            <w:r>
              <w:rPr>
                <w:rStyle w:val="21"/>
                <w:lang w:val="en-US" w:eastAsia="zh-CN" w:bidi="ar"/>
              </w:rPr>
              <w:t>器</w:t>
            </w:r>
          </w:p>
        </w:tc>
        <w:tc>
          <w:tcPr>
            <w:tcW w:w="1260"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302010"/>
                <w:kern w:val="0"/>
                <w:sz w:val="20"/>
                <w:szCs w:val="20"/>
                <w:u w:val="none"/>
                <w:lang w:val="en-US" w:eastAsia="zh-CN" w:bidi="ar"/>
              </w:rPr>
              <w:t>电脑中频治疗仪</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7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短波紫外线治疗仪</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1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聚焦超声治疗仪</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1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PT板凳</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206070"/>
                <w:kern w:val="0"/>
                <w:sz w:val="20"/>
                <w:szCs w:val="20"/>
                <w:u w:val="none"/>
                <w:lang w:val="en-US" w:eastAsia="zh-CN" w:bidi="ar"/>
              </w:rPr>
              <w:t xml:space="preserve">10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上下肢主被动康复训练系统</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1 </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普通病床（缺9张）</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床头柜</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6</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16</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紫外线消毒车</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17</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等离子移动式空气消毒机</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电动起立康复病床</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经颅磁刺激仪</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0"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2522"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i w:val="0"/>
                <w:iCs w:val="0"/>
                <w:color w:val="000000"/>
                <w:kern w:val="0"/>
                <w:sz w:val="20"/>
                <w:szCs w:val="20"/>
                <w:u w:val="none"/>
                <w:lang w:val="en-US" w:eastAsia="zh-CN" w:bidi="ar"/>
              </w:rPr>
              <w:t>气动式气道廓清治疗仪</w:t>
            </w:r>
          </w:p>
        </w:tc>
        <w:tc>
          <w:tcPr>
            <w:tcW w:w="1260"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335" w:type="dxa"/>
            <w:vAlign w:val="center"/>
          </w:tcPr>
          <w:p>
            <w:pPr>
              <w:keepNext w:val="0"/>
              <w:keepLines w:val="0"/>
              <w:widowControl/>
              <w:suppressLineNumbers w:val="0"/>
              <w:jc w:val="center"/>
              <w:textAlignment w:val="center"/>
              <w:rPr>
                <w:rFonts w:hint="default" w:ascii="仿宋" w:hAnsi="仿宋" w:eastAsia="仿宋" w:cs="仿宋"/>
                <w:b w:val="0"/>
                <w:bCs w:val="0"/>
                <w:kern w:val="2"/>
                <w:sz w:val="24"/>
                <w:szCs w:val="24"/>
                <w:vertAlign w:val="baseline"/>
                <w:lang w:val="en-US" w:eastAsia="zh-CN" w:bidi="ar-SA"/>
              </w:rPr>
            </w:pPr>
          </w:p>
        </w:tc>
        <w:tc>
          <w:tcPr>
            <w:tcW w:w="945" w:type="dxa"/>
            <w:vAlign w:val="center"/>
          </w:tcPr>
          <w:p>
            <w:pPr>
              <w:jc w:val="center"/>
              <w:rPr>
                <w:rFonts w:hint="default" w:ascii="仿宋" w:hAnsi="仿宋" w:eastAsia="仿宋" w:cs="仿宋"/>
                <w:b w:val="0"/>
                <w:bCs w:val="0"/>
                <w:kern w:val="2"/>
                <w:sz w:val="24"/>
                <w:szCs w:val="24"/>
                <w:vertAlign w:val="baseline"/>
                <w:lang w:val="en-US" w:eastAsia="zh-CN" w:bidi="ar-SA"/>
              </w:rPr>
            </w:pPr>
          </w:p>
        </w:tc>
        <w:tc>
          <w:tcPr>
            <w:tcW w:w="1110"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1065" w:type="dxa"/>
            <w:vAlign w:val="center"/>
          </w:tcPr>
          <w:p>
            <w:pPr>
              <w:jc w:val="center"/>
              <w:rPr>
                <w:rFonts w:hint="eastAsia" w:ascii="仿宋" w:hAnsi="仿宋" w:eastAsia="仿宋" w:cs="仿宋"/>
                <w:b w:val="0"/>
                <w:bCs w:val="0"/>
                <w:kern w:val="2"/>
                <w:sz w:val="24"/>
                <w:szCs w:val="24"/>
                <w:vertAlign w:val="baseline"/>
                <w:lang w:val="en-US" w:eastAsia="zh-CN" w:bidi="ar-SA"/>
              </w:rPr>
            </w:pPr>
          </w:p>
        </w:tc>
        <w:tc>
          <w:tcPr>
            <w:tcW w:w="885" w:type="dxa"/>
            <w:vAlign w:val="center"/>
          </w:tcPr>
          <w:p>
            <w:pPr>
              <w:jc w:val="center"/>
              <w:rPr>
                <w:rFonts w:hint="eastAsia" w:ascii="仿宋" w:hAnsi="仿宋" w:eastAsia="仿宋" w:cs="仿宋"/>
                <w:b w:val="0"/>
                <w:bCs w:val="0"/>
                <w:kern w:val="2"/>
                <w:sz w:val="24"/>
                <w:szCs w:val="24"/>
                <w:vertAlign w:val="baseline"/>
                <w:lang w:val="en-US" w:eastAsia="zh-CN" w:bidi="ar-SA"/>
              </w:rPr>
            </w:pPr>
          </w:p>
        </w:tc>
      </w:tr>
    </w:tbl>
    <w:p>
      <w:pPr>
        <w:pStyle w:val="8"/>
        <w:widowControl/>
        <w:spacing w:before="0" w:beforeAutospacing="0" w:after="0" w:afterAutospacing="0" w:line="500" w:lineRule="exact"/>
        <w:jc w:val="both"/>
        <w:textAlignment w:val="baseline"/>
        <w:rPr>
          <w:rFonts w:hint="eastAsia" w:ascii="仿宋_GB2312" w:hAnsi="仿宋_GB2312" w:eastAsia="仿宋_GB2312" w:cs="仿宋_GB2312"/>
          <w:color w:val="333333"/>
          <w:sz w:val="28"/>
          <w:szCs w:val="28"/>
        </w:rPr>
      </w:pP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ind w:firstLine="556"/>
        <w:jc w:val="both"/>
        <w:textAlignment w:val="baseline"/>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供应商（公章）：</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ind w:firstLine="556"/>
        <w:jc w:val="both"/>
        <w:textAlignment w:val="baseline"/>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法定代表人或委托代理人签名：</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ind w:firstLine="556"/>
        <w:jc w:val="both"/>
        <w:textAlignment w:val="baseline"/>
        <w:rPr>
          <w:rFonts w:hint="eastAsia" w:ascii="仿宋_GB2312" w:hAnsi="仿宋_GB2312" w:eastAsia="仿宋_GB2312" w:cs="仿宋_GB2312"/>
          <w:color w:val="333333"/>
          <w:sz w:val="28"/>
          <w:szCs w:val="28"/>
        </w:rPr>
      </w:pPr>
      <w:r>
        <w:rPr>
          <w:rFonts w:hint="eastAsia" w:ascii="仿宋_GB2312" w:hAnsi="仿宋_GB2312" w:eastAsia="仿宋_GB2312" w:cs="仿宋_GB2312"/>
          <w:color w:val="333333"/>
          <w:sz w:val="28"/>
          <w:szCs w:val="28"/>
        </w:rPr>
        <w:t>日 期：</w:t>
      </w:r>
    </w:p>
    <w:p>
      <w:pPr>
        <w:widowControl/>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kern w:val="0"/>
          <w:sz w:val="28"/>
          <w:szCs w:val="28"/>
        </w:rPr>
        <w:t>附件</w:t>
      </w:r>
      <w:r>
        <w:rPr>
          <w:rFonts w:hint="eastAsia" w:ascii="仿宋_GB2312" w:hAnsi="仿宋_GB2312" w:eastAsia="仿宋_GB2312" w:cs="仿宋_GB2312"/>
          <w:b/>
          <w:kern w:val="0"/>
          <w:sz w:val="28"/>
          <w:szCs w:val="28"/>
          <w:lang w:val="en-US" w:eastAsia="zh-CN"/>
        </w:rPr>
        <w:t>3</w:t>
      </w:r>
      <w:r>
        <w:rPr>
          <w:rFonts w:hint="eastAsia" w:ascii="仿宋_GB2312" w:hAnsi="仿宋_GB2312" w:eastAsia="仿宋_GB2312" w:cs="仿宋_GB2312"/>
          <w:b/>
          <w:kern w:val="0"/>
          <w:sz w:val="28"/>
          <w:szCs w:val="28"/>
        </w:rPr>
        <w:t>：</w:t>
      </w:r>
    </w:p>
    <w:p>
      <w:pPr>
        <w:pStyle w:val="2"/>
        <w:rPr>
          <w:rFonts w:hint="default"/>
          <w:lang w:val="en-US" w:eastAsia="zh-CN"/>
        </w:rPr>
      </w:pPr>
    </w:p>
    <w:p>
      <w:pPr>
        <w:keepNext w:val="0"/>
        <w:keepLines w:val="0"/>
        <w:widowControl w:val="0"/>
        <w:suppressLineNumbers w:val="0"/>
        <w:snapToGrid w:val="0"/>
        <w:spacing w:before="100" w:beforeAutospacing="1" w:after="0" w:afterAutospacing="0"/>
        <w:ind w:left="0" w:right="0"/>
        <w:jc w:val="center"/>
        <w:rPr>
          <w:rFonts w:hint="eastAsia" w:ascii="黑体" w:hAnsi="宋体" w:eastAsia="黑体" w:cs="黑体"/>
          <w:b w:val="0"/>
          <w:bCs w:val="0"/>
          <w:kern w:val="2"/>
          <w:sz w:val="44"/>
          <w:szCs w:val="44"/>
        </w:rPr>
      </w:pPr>
      <w:r>
        <w:rPr>
          <w:rFonts w:hint="eastAsia" w:ascii="方正小标宋简体" w:hAnsi="方正小标宋简体" w:eastAsia="方正小标宋简体" w:cs="方正小标宋简体"/>
          <w:b w:val="0"/>
          <w:bCs w:val="0"/>
          <w:kern w:val="2"/>
          <w:sz w:val="44"/>
          <w:szCs w:val="44"/>
          <w:lang w:val="en-US" w:eastAsia="zh-CN" w:bidi="ar"/>
        </w:rPr>
        <w:t>采购需求表</w:t>
      </w:r>
    </w:p>
    <w:bookmarkEnd w:id="0"/>
    <w:tbl>
      <w:tblPr>
        <w:tblW w:w="98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50"/>
        <w:gridCol w:w="3315"/>
        <w:gridCol w:w="57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750" w:type="dxa"/>
            <w:tcBorders>
              <w:top w:val="single" w:color="000000" w:sz="4" w:space="0"/>
              <w:left w:val="single" w:color="000000" w:sz="4" w:space="0"/>
              <w:bottom w:val="single" w:color="000000" w:sz="4" w:space="0"/>
              <w:right w:val="single" w:color="000000" w:sz="4" w:space="0"/>
            </w:tcBorders>
            <w:shd w:val="cle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b/>
                <w:bCs/>
                <w:i w:val="0"/>
                <w:iCs w:val="0"/>
                <w:color w:val="706070"/>
                <w:sz w:val="20"/>
                <w:szCs w:val="20"/>
                <w:u w:val="none"/>
              </w:rPr>
            </w:pPr>
            <w:r>
              <w:rPr>
                <w:rFonts w:hint="eastAsia" w:ascii="仿宋" w:hAnsi="仿宋" w:eastAsia="仿宋" w:cs="仿宋"/>
                <w:b/>
                <w:bCs/>
                <w:i w:val="0"/>
                <w:iCs w:val="0"/>
                <w:color w:val="706070"/>
                <w:kern w:val="0"/>
                <w:sz w:val="20"/>
                <w:szCs w:val="20"/>
                <w:u w:val="none"/>
                <w:bdr w:val="none" w:color="auto" w:sz="0" w:space="0"/>
                <w:lang w:val="en-US" w:eastAsia="zh-CN" w:bidi="ar"/>
              </w:rPr>
              <w:t>序 号</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设备名称</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bdr w:val="none" w:color="auto" w:sz="0" w:space="0"/>
                <w:lang w:val="en-US" w:eastAsia="zh-CN" w:bidi="ar"/>
              </w:rPr>
              <w:t>参考参数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1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302010"/>
                <w:sz w:val="20"/>
                <w:szCs w:val="20"/>
                <w:u w:val="none"/>
              </w:rPr>
            </w:pPr>
            <w:r>
              <w:rPr>
                <w:rFonts w:hint="eastAsia" w:ascii="仿宋" w:hAnsi="仿宋" w:eastAsia="仿宋" w:cs="仿宋"/>
                <w:i w:val="0"/>
                <w:iCs w:val="0"/>
                <w:color w:val="302010"/>
                <w:kern w:val="0"/>
                <w:sz w:val="20"/>
                <w:szCs w:val="20"/>
                <w:u w:val="none"/>
                <w:bdr w:val="none" w:color="auto" w:sz="0" w:space="0"/>
                <w:lang w:val="en-US" w:eastAsia="zh-CN" w:bidi="ar"/>
              </w:rPr>
              <w:t>手指手套训练仪(便携)</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基于运动想象原理与“中枢外周中枢”闭环康复理论，通过健侧手带动患侧手，</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控制软体外骨骼康复机器人运动，可激发患者主动意识，实现“感知-控制”双</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向闭环神经刺激，重塑患者的神经通路，可以显著提升康复疗效。</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1、≥六种训练模式，≥9档力度可调，满足康复全周期；</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2、无线数据手套，智能双手分指镜像训练；动作捕捉零延迟</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3、升级语音功能，助力神经康复</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4、智能小程序，在线同步数据</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5、仿生气动手套，模拟专业康复手法，柔性结构设计；</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6、大容量电池，充插两用，居家出行随心所欲。</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7、具有FDA,CE证书；</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充电电压：9V</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主机尺寸：≥127×134×85(mm)（长×宽×高）</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充电电流：2A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环境温度：5℃~40℃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4080A0"/>
                <w:sz w:val="20"/>
                <w:szCs w:val="20"/>
                <w:u w:val="none"/>
              </w:rPr>
            </w:pPr>
            <w:r>
              <w:rPr>
                <w:rFonts w:hint="eastAsia" w:ascii="仿宋" w:hAnsi="仿宋" w:eastAsia="仿宋" w:cs="仿宋"/>
                <w:i w:val="0"/>
                <w:iCs w:val="0"/>
                <w:color w:val="4080A0"/>
                <w:kern w:val="0"/>
                <w:sz w:val="20"/>
                <w:szCs w:val="20"/>
                <w:u w:val="none"/>
                <w:bdr w:val="none" w:color="auto" w:sz="0" w:space="0"/>
                <w:lang w:val="en-US" w:eastAsia="zh-CN" w:bidi="ar"/>
              </w:rPr>
              <w:t xml:space="preserve">2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Style w:val="22"/>
                <w:bdr w:val="none" w:color="auto" w:sz="0" w:space="0"/>
                <w:lang w:val="en-US" w:eastAsia="zh-CN" w:bidi="ar"/>
              </w:rPr>
              <w:t>CPM</w:t>
            </w:r>
            <w:r>
              <w:rPr>
                <w:rFonts w:hint="eastAsia" w:ascii="仿宋" w:hAnsi="仿宋" w:eastAsia="仿宋" w:cs="仿宋"/>
                <w:i w:val="0"/>
                <w:iCs w:val="0"/>
                <w:color w:val="302010"/>
                <w:kern w:val="0"/>
                <w:sz w:val="20"/>
                <w:szCs w:val="20"/>
                <w:u w:val="none"/>
                <w:bdr w:val="none" w:color="auto" w:sz="0" w:space="0"/>
                <w:lang w:val="en-US" w:eastAsia="zh-CN" w:bidi="ar"/>
              </w:rPr>
              <w:t>(腕关节、肩关节各3)</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bCs/>
                <w:i w:val="0"/>
                <w:iCs w:val="0"/>
                <w:color w:val="000000"/>
                <w:sz w:val="20"/>
                <w:szCs w:val="20"/>
                <w:u w:val="none"/>
              </w:rPr>
            </w:pPr>
            <w:r>
              <w:rPr>
                <w:rStyle w:val="23"/>
                <w:bdr w:val="none" w:color="auto" w:sz="0" w:space="0"/>
                <w:lang w:val="en-US" w:eastAsia="zh-CN" w:bidi="ar"/>
              </w:rPr>
              <w:t>肩关节参数</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01. 微特电机驱动，机械结构设计、选材合理，精度高，运行平稳，噪音低，寿命长久。</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02. 微特电脑数码控制设计，并采用进口集成元器件，内设大容量进口CPU中央处理器,智能化软件编程，并具有超力矩过载保护等功能。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03. 大屏幕液晶背光显示，所有参数一览无遗，方便了医疗临床研究。</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04. 大范围关节活动度，活动范围适应性增大，充分考虑了医疗治疗需要。</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05. 采用最优化结构设计，关节角度速度变化分布合理。</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06. 运动方式可在水平、垂直面方向转换，长度调节方式灵活，产品适用面广泛，可用于患者的左、右肩关节的前曲、后伸、上举位、外展、内收等各种活动方式，较好地实现了肩关节的被动康复运动。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07. 关节角度活动范围：0°—150°；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08. 关节角度变化速度范围：0.5°—3°/s；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09. 电源：220Vac±10%，50±1Hz；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 功耗：≤60W。</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Style w:val="23"/>
                <w:bdr w:val="none" w:color="auto" w:sz="0" w:space="0"/>
                <w:lang w:val="en-US" w:eastAsia="zh-CN" w:bidi="ar"/>
              </w:rPr>
              <w:t>肘关节参数</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01. 微特电机驱动，机械结构设计、选材合理，精度高，运行平稳，噪音低，寿命长久。</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02. 微特电脑数码控制设计，并采用进口集成元器件，内设大容量进口CPU中央处理器,智能化软件编程，并具有超力矩过载保护等功能。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03. LCD液晶显示，所有参数一览无遗，方便了医疗临床研究。</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04. 同一机器可以使用于患者的肘关节，活动范围适应性增大，在一般适用于成人的同时，也适用于一般儿童。充分考虑了医疗治疗需要。</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05. 肘关节运动转换方便，长度调节方式灵活，产品适用面广泛，可用于患者的左、右肘关节的被动运动。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06. 采用最优化结构设计，关节角度速度变化分布合理。</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07. 关节角度活动范围：0°—125°；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08. 关节角度变化速度范围：0.5°—3°/s；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09. 电源：220Vac±10%，50Hz；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 功耗：≤60W。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406070"/>
                <w:sz w:val="20"/>
                <w:szCs w:val="20"/>
                <w:u w:val="none"/>
              </w:rPr>
            </w:pPr>
            <w:r>
              <w:rPr>
                <w:rFonts w:hint="eastAsia" w:ascii="仿宋" w:hAnsi="仿宋" w:eastAsia="仿宋" w:cs="仿宋"/>
                <w:i w:val="0"/>
                <w:iCs w:val="0"/>
                <w:color w:val="406070"/>
                <w:kern w:val="0"/>
                <w:sz w:val="20"/>
                <w:szCs w:val="20"/>
                <w:u w:val="none"/>
                <w:bdr w:val="none" w:color="auto" w:sz="0" w:space="0"/>
                <w:lang w:val="en-US" w:eastAsia="zh-CN" w:bidi="ar"/>
              </w:rPr>
              <w:t xml:space="preserve">3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Style w:val="22"/>
                <w:bdr w:val="none" w:color="auto" w:sz="0" w:space="0"/>
                <w:lang w:val="en-US" w:eastAsia="zh-CN" w:bidi="ar"/>
              </w:rPr>
              <w:t>下肢</w:t>
            </w:r>
            <w:r>
              <w:rPr>
                <w:rStyle w:val="24"/>
                <w:bdr w:val="none" w:color="auto" w:sz="0" w:space="0"/>
                <w:lang w:val="en-US" w:eastAsia="zh-CN" w:bidi="ar"/>
              </w:rPr>
              <w:t>CPM</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1.大容量CPU全微电脑智能设计，具有中文/英文双路显示和控制版本（可带全功能手控器）。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2.具有全程长度和膝关节角度控制精密方式，全程运行角度控制精确。</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3.具有运行角度、速度自动增加模式功能，并具有“控制功率”设定功能，安全可靠。</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4.康复器输入功率为70VA。额定工作电压：～220V　50Hz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5.角度范围及允差</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1）角度范围</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设备角度范围可调节，角度范围（α）为-5°～120°。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2）角度范围允差</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在可调节的角度范围内，角度允差：±5°。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6.角速度</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设备的角速度应可调节，CPM-F型设备最大角速度4.5°/s，允差：±15%。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7.治疗时间</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产品有定时装置，设定范围在0～240min，步进值1min，其准确度误差应不超过±5s。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8.结构要求</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1）手持操作器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设备具有供使用者操作的手持操作器，手持操作器能控制设备的启动、停止，操作方便、可靠。</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2）固定肢体的支架</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固定肢体的支架长度可调节。</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设备大腿支架最大有效可调节长度为140mm，小腿支架最大有效使用长度为550mm。允差：±10％。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9.意外断电</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电源中断及恢复通电后，固定肢体的支架应保持在停止时的状态。</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10.承重载荷</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设备的额定载荷大于200N，在额定荷载内，设备应能正常运行。</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11.按键设计，运行更精准，定位更精确，采用更人性化的定时停止功能。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12.复合型双层绑带，柔软舒适，便于清洗。</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13.机壳采用ABS注塑成型，主体结构为6061铝合金材质，无油漆部件，整体外观美观。</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14.产品纸箱尺寸：1050x430x320mm（误差±20mm）。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15.产品重量：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净重：11.5kg，允差：±1.5kg；毛重：14.0kg，允差：±1.5kg。</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16.供医疗机构、康复机构中具备相关专业知识的操作者使用，用于对患者肢体或关节进行被动康复训练，适合患者和医护人员共同操作和观察。</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17.采用紧密定制丝杠，噪音低，有效机械运动行程大于60厘米。</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18.适用于1.5-1.9米正常平均高度的成人使用。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4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403020"/>
                <w:sz w:val="20"/>
                <w:szCs w:val="20"/>
                <w:u w:val="none"/>
              </w:rPr>
            </w:pPr>
            <w:r>
              <w:rPr>
                <w:rFonts w:hint="eastAsia" w:ascii="仿宋" w:hAnsi="仿宋" w:eastAsia="仿宋" w:cs="仿宋"/>
                <w:i w:val="0"/>
                <w:iCs w:val="0"/>
                <w:color w:val="403020"/>
                <w:kern w:val="0"/>
                <w:sz w:val="20"/>
                <w:szCs w:val="20"/>
                <w:u w:val="none"/>
                <w:bdr w:val="none" w:color="auto" w:sz="0" w:space="0"/>
                <w:lang w:val="en-US" w:eastAsia="zh-CN" w:bidi="ar"/>
              </w:rPr>
              <w:t>康复训练床(普通)</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结构型式：床面、床架、垫子</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材质：静电喷塑架、高回弹海绵、PU床面</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参考规格(cm)：≥190×122×48</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参考床面尺寸(长×宽)cm：≥190×122</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参考质量：≥53.0kg</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额定载荷：≥135.0kg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5040"/>
                <w:sz w:val="20"/>
                <w:szCs w:val="20"/>
                <w:u w:val="none"/>
              </w:rPr>
            </w:pPr>
            <w:r>
              <w:rPr>
                <w:rFonts w:hint="eastAsia" w:ascii="仿宋" w:hAnsi="仿宋" w:eastAsia="仿宋" w:cs="仿宋"/>
                <w:i w:val="0"/>
                <w:iCs w:val="0"/>
                <w:color w:val="205040"/>
                <w:kern w:val="0"/>
                <w:sz w:val="20"/>
                <w:szCs w:val="20"/>
                <w:u w:val="none"/>
                <w:bdr w:val="none" w:color="auto" w:sz="0" w:space="0"/>
                <w:lang w:val="en-US" w:eastAsia="zh-CN" w:bidi="ar"/>
              </w:rPr>
              <w:t xml:space="preserve">5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Style w:val="22"/>
                <w:bdr w:val="none" w:color="auto" w:sz="0" w:space="0"/>
                <w:lang w:val="en-US" w:eastAsia="zh-CN" w:bidi="ar"/>
              </w:rPr>
              <w:t>OT</w:t>
            </w:r>
            <w:r>
              <w:rPr>
                <w:rStyle w:val="25"/>
                <w:bdr w:val="none" w:color="auto" w:sz="0" w:space="0"/>
                <w:lang w:val="en-US" w:eastAsia="zh-CN" w:bidi="ar"/>
              </w:rPr>
              <w:t>桌</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1、结构型式：脚横杆、脚间挺杆、不锈钢内心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2、升降支架、传动机构、桌面及框架、手柄</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3、材质：静电喷塑架、密度板</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4、桌面升架范围mm：610～810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5、手柄转动力距mm：≥10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6、桌面额定载荷mm：≥50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7、桌面参考尺寸（长×宽）mm：≥1200×700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8、参考质量：≥41.0kg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6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气垫床</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结构及组成:该产品由气床垫(一体呈形减压框体，垫内无线缆无火灾隐患)、气道(合独立CPR和除湿通道)、充气泵主机(双核系</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统、双独立工作、双压力传感器)、嵌入软件组成。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1020"/>
                <w:sz w:val="20"/>
                <w:szCs w:val="20"/>
                <w:u w:val="none"/>
              </w:rPr>
            </w:pPr>
            <w:r>
              <w:rPr>
                <w:rFonts w:hint="eastAsia" w:ascii="仿宋" w:hAnsi="仿宋" w:eastAsia="仿宋" w:cs="仿宋"/>
                <w:i w:val="0"/>
                <w:iCs w:val="0"/>
                <w:color w:val="001020"/>
                <w:kern w:val="0"/>
                <w:sz w:val="20"/>
                <w:szCs w:val="20"/>
                <w:u w:val="none"/>
                <w:bdr w:val="none" w:color="auto" w:sz="0" w:space="0"/>
                <w:lang w:val="en-US" w:eastAsia="zh-CN" w:bidi="ar"/>
              </w:rPr>
              <w:t xml:space="preserve">7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作业综合训练箱(OT训练套餐)</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锻炼和提高手指灵活和协调性。规格：≥55×40×14㎝参数：优质木料表面清漆整体是便携式手提木箱，箱子高14cm，内配不锈钢铁棍、木插棒、上螺丝、上螺母、ADL训练器具和玻璃球。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8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305040"/>
                <w:sz w:val="20"/>
                <w:szCs w:val="20"/>
                <w:u w:val="none"/>
              </w:rPr>
            </w:pPr>
            <w:r>
              <w:rPr>
                <w:rStyle w:val="26"/>
                <w:bdr w:val="none" w:color="auto" w:sz="0" w:space="0"/>
                <w:lang w:val="en-US" w:eastAsia="zh-CN" w:bidi="ar"/>
              </w:rPr>
              <w:t>助行</w:t>
            </w:r>
            <w:r>
              <w:rPr>
                <w:rStyle w:val="27"/>
                <w:bdr w:val="none" w:color="auto" w:sz="0" w:space="0"/>
                <w:lang w:val="en-US" w:eastAsia="zh-CN" w:bidi="ar"/>
              </w:rPr>
              <w:t>器</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1）产品为框式扭动式助行架，适合1.55—1.80m人群使用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2）助行架主架采用高强度铝合金焊接而成，管材壁厚为：Ф25*1.2，助行架表面采用光亮氧化处理；</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3）助行架利用前臂弹珠打开助行架即可使用，大架可折叠，方便携带，握把采用EVA无毒无害，易清洗材料，舒适度强；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4）主要参数：大架长：55cm,宽：48cm,高度调节范围：74-84cm。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5）性能：适用于下肢肌力较弱和平衡稳定性较差的患者步行训练。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9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302010"/>
                <w:sz w:val="20"/>
                <w:szCs w:val="20"/>
                <w:u w:val="none"/>
              </w:rPr>
            </w:pPr>
            <w:r>
              <w:rPr>
                <w:rFonts w:hint="eastAsia" w:ascii="仿宋" w:hAnsi="仿宋" w:eastAsia="仿宋" w:cs="仿宋"/>
                <w:i w:val="0"/>
                <w:iCs w:val="0"/>
                <w:color w:val="302010"/>
                <w:kern w:val="0"/>
                <w:sz w:val="20"/>
                <w:szCs w:val="20"/>
                <w:u w:val="none"/>
                <w:bdr w:val="none" w:color="auto" w:sz="0" w:space="0"/>
                <w:lang w:val="en-US" w:eastAsia="zh-CN" w:bidi="ar"/>
              </w:rPr>
              <w:t>电脑中频治疗仪</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 、额定输入功率：180VA。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2、使用电源：交流电压220V±22V, 频率50Hz ±1Hz。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 、尺寸(允差±20mm):    长360mm,  宽340mm, 高205mm。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4、显示方式：数码触摸显示。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5、输出通道：四路中频加透热输出、四路离子导</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入直流输出、两路干扰电输出。即1、2两通道形成一组干扰；3、4两通 道形成一组干扰。</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6、中频频率为1kHz～10kHz,   单一频率允差±10%。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 、低频调制频率为0～150Hz,  单一频率允差±10%或±1Hz 取大值。</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 、中频载波波形：双向方波，脉宽50us～500us,   允差±10%。调制波形 有正弦波、方波、三角波、指数波、锯齿波、尖波、等幅波。</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9、调制方式：连续、断续、间歇、变频、疏密和交替调制。</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1)间歇调制：低频调制方波(载波)占空比为50%,允差±20%。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10、中频调幅度：0%、25%、50%、75%、100%,允差±5%。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11、干扰电性能：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工作频率：4kHz,  允差±10%。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调制频率：0.125Hz,  允差±10%。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差频频率范围：0～112Hz,   允差±10%或±1Hz 取较大值。</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调幅度：0%、100%,允差±5%。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差频变化周期：5.5s 、32s,   允差±10%。动态节律参数8S, 允差±10%。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12、具有100个固定处方，是理疗专家根据不同的疾病而编制成的，可供 医生参考使用。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13 、中频输出电流：在500Ω的负载下，每路输出电流不大于100mA。输 出强度分0～99级可调。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14、输出电流稳定度：不同负载下的输出电流变化率应不大于10%。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15、中频输出峰值电压：在开路条件下测量时，中频输出峰值电压不得超 过500V。</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16 、运行：输出设定到最大值时，将输出端开路运行10min 后再短路运行 5min,  治疗仪应能正常工作。</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17、电极板温度：38℃~55℃,分6档可调，允差±3℃。加热功能可单独 开启及关闭，</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18、离子导入输出直流电流：在500Ω的负载下，每路输出电流不超过50mA, 分0～99级可调。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19、电极板：应选购具有一类医疗器械备案凭证的合格产品。</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20、治疗时间已在处方中，治疗时间根据处方不同为20min 、25min 、30min、 40min、45min, 治疗时间到了有音响提示，并停止输出，时间允差±1min。</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21、该产品具有漏电保护、过载保护，短路保护。可连续使用4～5小时。 固定形式：柜内存放，临时固定。                                                                   适用范围</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该产品对肩周炎、肱骨外上髁炎、颈椎病、腰椎间盘突出症、退行性 骨性关节病、风湿性关节炎、类风湿关节炎、摈伤、挫伤、肌纤维织炎、  肌肉劳损、狭窄性腱鞘炎、坐骨神经痛、周围神经伤病、关节挛缩、盆腔  炎、附件炎、慢性咽喉炎、乳腺增生、慢性前列腺炎具有消炎和镇痛作用； 对肌炎、骨折延迟愈合、雷诺病具有改善局部血液循环和促进炎症消散的 作用；对废用性肌萎缩、尿潴留、神经或肌肉伤病后肌肉功能障碍、便秘、 胃下垂、术后肠麻痹、声带麻痹具有兴奋神经肌肉的作用；对瘢痕、瘢痕  挛缩、术后粘连、肠粘连、炎症后硬化、注射后硬结、阴茎海绵体硬结、  血肿机化、狭窄性腱鞘炎具有软化瘢痕、松解粘连的作用。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60"/>
                <w:sz w:val="20"/>
                <w:szCs w:val="20"/>
                <w:u w:val="none"/>
              </w:rPr>
            </w:pPr>
            <w:r>
              <w:rPr>
                <w:rFonts w:hint="eastAsia" w:ascii="仿宋" w:hAnsi="仿宋" w:eastAsia="仿宋" w:cs="仿宋"/>
                <w:i w:val="0"/>
                <w:iCs w:val="0"/>
                <w:color w:val="206060"/>
                <w:kern w:val="0"/>
                <w:sz w:val="20"/>
                <w:szCs w:val="20"/>
                <w:u w:val="none"/>
                <w:bdr w:val="none" w:color="auto" w:sz="0" w:space="0"/>
                <w:lang w:val="en-US" w:eastAsia="zh-CN" w:bidi="ar"/>
              </w:rPr>
              <w:t xml:space="preserve">10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短波紫外线治疗仪</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紫外线照射人体皮肤时，可引起皮肤红斑反映及色素沉着。不同波长，不同剂量紫外线生物学效应和治疗作用不同，具有消炎杀菌、镇痛、增强机体的免疫力等作用。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技术参数</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1、额定输入功率：100VA。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2、使用电源：交流电压220V±22V，频率50Hz±1Hz。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3、外形尺寸（长宽高）：380×310×135mm，允差±5%。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4、操作显示：5英寸液晶屏，一键飞梭+按键。</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5、紫外线发光类型：低压汞蒸气荧光灯和贴片式灯珠。</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6、紫外线波长：254nm，允差±3nm；设备同时配置体腔照射器、体表照射器；体腔含直光导、弯光导、鼻光导共3种光导；体腔直光导辐照度22mW/cm</w:t>
            </w:r>
            <w:r>
              <w:rPr>
                <w:rStyle w:val="28"/>
                <w:rFonts w:ascii="宋体" w:hAnsi="宋体" w:eastAsia="宋体" w:cs="宋体"/>
                <w:sz w:val="24"/>
                <w:szCs w:val="24"/>
                <w:bdr w:val="none" w:color="auto" w:sz="0" w:space="0"/>
                <w:lang w:val="en-US" w:eastAsia="zh-CN" w:bidi="ar"/>
              </w:rPr>
              <w:t>²</w:t>
            </w:r>
            <w:r>
              <w:rPr>
                <w:rFonts w:hint="eastAsia" w:ascii="仿宋" w:hAnsi="仿宋" w:eastAsia="仿宋" w:cs="仿宋"/>
                <w:i w:val="0"/>
                <w:iCs w:val="0"/>
                <w:color w:val="000000"/>
                <w:kern w:val="0"/>
                <w:sz w:val="20"/>
                <w:szCs w:val="20"/>
                <w:u w:val="none"/>
                <w:bdr w:val="none" w:color="auto" w:sz="0" w:space="0"/>
                <w:lang w:val="en-US" w:eastAsia="zh-CN" w:bidi="ar"/>
              </w:rPr>
              <w:t>、弯光导12mW/cm</w:t>
            </w:r>
            <w:r>
              <w:rPr>
                <w:rStyle w:val="28"/>
                <w:rFonts w:ascii="宋体" w:hAnsi="宋体" w:eastAsia="宋体" w:cs="宋体"/>
                <w:sz w:val="24"/>
                <w:szCs w:val="24"/>
                <w:bdr w:val="none" w:color="auto" w:sz="0" w:space="0"/>
                <w:lang w:val="en-US" w:eastAsia="zh-CN" w:bidi="ar"/>
              </w:rPr>
              <w:t>²</w:t>
            </w:r>
            <w:r>
              <w:rPr>
                <w:rFonts w:hint="eastAsia" w:ascii="仿宋" w:hAnsi="仿宋" w:eastAsia="仿宋" w:cs="仿宋"/>
                <w:i w:val="0"/>
                <w:iCs w:val="0"/>
                <w:color w:val="000000"/>
                <w:kern w:val="0"/>
                <w:sz w:val="20"/>
                <w:szCs w:val="20"/>
                <w:u w:val="none"/>
                <w:bdr w:val="none" w:color="auto" w:sz="0" w:space="0"/>
                <w:lang w:val="en-US" w:eastAsia="zh-CN" w:bidi="ar"/>
              </w:rPr>
              <w:t>、鼻光导17mW/cm</w:t>
            </w:r>
            <w:r>
              <w:rPr>
                <w:rStyle w:val="28"/>
                <w:rFonts w:ascii="宋体" w:hAnsi="宋体" w:eastAsia="宋体" w:cs="宋体"/>
                <w:sz w:val="24"/>
                <w:szCs w:val="24"/>
                <w:bdr w:val="none" w:color="auto" w:sz="0" w:space="0"/>
                <w:lang w:val="en-US" w:eastAsia="zh-CN" w:bidi="ar"/>
              </w:rPr>
              <w:t>²</w:t>
            </w:r>
            <w:r>
              <w:rPr>
                <w:rFonts w:hint="eastAsia" w:ascii="仿宋" w:hAnsi="仿宋" w:eastAsia="仿宋" w:cs="仿宋"/>
                <w:i w:val="0"/>
                <w:iCs w:val="0"/>
                <w:color w:val="000000"/>
                <w:kern w:val="0"/>
                <w:sz w:val="20"/>
                <w:szCs w:val="20"/>
                <w:u w:val="none"/>
                <w:bdr w:val="none" w:color="auto" w:sz="0" w:space="0"/>
                <w:lang w:val="en-US" w:eastAsia="zh-CN" w:bidi="ar"/>
              </w:rPr>
              <w:t>；体表治疗头辐照度25mW/cm</w:t>
            </w:r>
            <w:r>
              <w:rPr>
                <w:rStyle w:val="28"/>
                <w:rFonts w:ascii="宋体" w:hAnsi="宋体" w:eastAsia="宋体" w:cs="宋体"/>
                <w:sz w:val="24"/>
                <w:szCs w:val="24"/>
                <w:bdr w:val="none" w:color="auto" w:sz="0" w:space="0"/>
                <w:lang w:val="en-US" w:eastAsia="zh-CN" w:bidi="ar"/>
              </w:rPr>
              <w:t>²</w:t>
            </w:r>
            <w:r>
              <w:rPr>
                <w:rFonts w:hint="eastAsia" w:ascii="仿宋" w:hAnsi="仿宋" w:eastAsia="仿宋" w:cs="仿宋"/>
                <w:i w:val="0"/>
                <w:iCs w:val="0"/>
                <w:color w:val="000000"/>
                <w:kern w:val="0"/>
                <w:sz w:val="20"/>
                <w:szCs w:val="20"/>
                <w:u w:val="none"/>
                <w:bdr w:val="none" w:color="auto" w:sz="0" w:space="0"/>
                <w:lang w:val="en-US" w:eastAsia="zh-CN" w:bidi="ar"/>
              </w:rPr>
              <w:t>，允差均±20%。（提供注册检验报告佐证）</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7、定时时间：1～999秒，步进1s，允差±2%。</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8、输出通道：双通道，设备输出通道为双通道，具备体腔、体表两种工作模式。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9、具有体腔照射器和体表照射器。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10、紫外辐照强度的稳定性小于5%；体表照射器紫外线辐照强度均匀性小于±25%。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适用范围</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适用于浅表软组织急性炎症的辅助治疗。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11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聚焦超声治疗仪</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技术参数</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1.适用范围：产品利用聚焦超声技术用于人体的颈肩部、腰腹部和四肢部位慢性软组织损伤性疼痛的治疗。</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2.超声治疗头主机集成一体机。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3.声工作频率：≥0.8MHz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4.额定输出声功率≤7.0W</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5.采用低强度聚焦脉冲超声技术，治疗头输出端采用透声膜。</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6.超声换能器球面半径：≥40mm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7.波束类别：会聚型。</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8.空间峰值时间平均声强（Ispta）:≤1.5W/cm2</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9.焦平面距离： 5-50mm。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10.脉冲占空比：2%-100%；脉冲重复周期:2.5ms。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11.治疗时间：0-300秒范围内可调，步进为1秒。</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12.调制波形：方波。</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13.治疗头超温：治疗头辐射表面的温度≤41℃。</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14.全周期压控技术：控制电路设计采用动态实时反馈技术，对返回电流进行监控，稳定电流，以避免超声功率输出超标，确保治疗仪的安全性。（说明书）</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17.设备使用年限不低于8年。</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18.内置电池，无线操作。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12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PT板凳</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材质：铝钢结合、座垫泡沫海绵、优质PU革；外形尺寸55×55×88～100cm；凳面高度调节范围：45cm～55cm；带液压油缸，360°旋转；额定承载：≥2000N；产品用途：康复师进行手法治疗时可移动的坐具。特点和功能：1、凳面高度可调，方便康复师做手法治疗。2、凳体底部设计有万向滑轮，可以自由移动。3、凳面可以360°旋转。4、有靠背，方便康复师休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13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上下肢主被动康复训练系统</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1.设备提供≥3种基本训练模式，包括被动训练、主动训练、助力训练；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 xml:space="preserve">2.设备支持上肢训练、下肢训练和上下肢联动训练； </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3.设备能够根据患者运动状态自动切换主动模式和被动模式，同时支持手动选择模式；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4.提供≥10种预设训练程序，包含标准程序、等速程序、速度程序、协调能力程序、力量和耐力程序、游戏程序、对称性程序、骨科程序、心肺程序、弹簧程序；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5.设备高度支持电动调节，调节范围0~180mm；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6.设备可提供最大下肢被动训练力度20Nm，可提供最大阻力力度为20Nm；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7.设备被动训练速度可调，最大被动速度为90r/min；</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8.启动训练、停止训练、手动和自动切换方向时的速度变化率不应大于0.5r/s2  ；</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9.主动最大速度限制值为160r/min；</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10.设备具有佩戴辅助功能，可电动调节上肢训练器、下肢训练器位置，并提供阻尼锁定；</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11.具备≥3种安全保护：痉挛保护、手动急停开关、意外断电保护；</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12.设备痉挛灵敏度三级可调，且设备能按设置的痉挛缓解方式运行，包含反向运动、同向运动或者停止运动；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13.设备提供患者管理功能，包含患者新建、编辑、删除（含批量删除）、搜索及加入/移出 （含批量移出）白名单功能；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14.设备提供报告管理功能，包括训练总时长（区分主动、被动、助力）、总距离（主动运动距离、被动运动距离），对称性（左右对称性、被动对称性、主动对称性）等数据；</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15.设备提供计划管理功能，包含训练计划的新增、编辑、删除、搜索以及计划状态显示；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16.设备提供物联功能：支持数据接口及用户访问控制，通过Wi-Fi与终端设备进行TCP/IP协议通信；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14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普通病床（缺9张）</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▲1.产品需通过ISO14001环境管理体系认证、ISO45001职业健康安全管理体系认证；通过ISO9001、ISO13485质量管理体系认证。（提供各项资质认证文件）</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2、规格：长度2100㎜，宽度960㎜，床体标准高度500mm  ±10mm；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3、功能：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3.1背板调节0-75°；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3.2腿部调节≥35°；</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3.3四角刹车；一键刹车。</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4、材质要求：</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▲4.1床体骨架采用≥80*40*1.5mm的成型方管焊接而成，先进的焊接工艺，焊接质量优质，床体坚固;（为保证产品生产过程的牢固性需提供生产厂家1 台以上包含 1 台激光切割机设备的合同、发票。另需要提供投标生产厂家焊接机器人3台以上包含焊接机器人设备的合同、发票）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4.2床面：采用≥1.2mm的冷轧钢板。冲压成凹型，多气孔设计，便于透气并具有防滑功能。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▲4.3床体采用优质抗菌粉末静电喷涂而成，具有环保、抗菌的作用。（为保证产品喷涂的牢固性需提供生产厂家1 套以上包含 1 套粉末喷涂设备的合同、发票。粉末SGS检验报告）</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▲4.5 涂料对微生物大肠挨希氏菌和金黄色葡萄球菌均具有抗菌作用。（提供粉末抗菌性能检验报告）</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4.6床头、床尾板采用ABS工程塑料一次吹塑成型，挂式设计可拆卸方便，无缝制成，稳定可靠，拆卸方便，尾板外侧有病人信息卡插槽；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▲4.8配置φ125静音脚轮，四角刹车，易于固定或推动床体。（为保证静音轮配件的耐久性需要生产厂家具备检验静音轮耐久性检验设备，需要提供生产厂家检验设备的发票、合同和实物照片）</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4.9护栏采用全覆式铝合金折叠护栏，采用加厚铝合金材质，经久耐用，不易变形，抗腐蚀，光滑美观易清洁。</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4.10四角带有输液架插孔。</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4.11摇杆传动升降系统，无塑料结构，耐磨、抗压、寿命长，加装双向到位无极限保护装置、增强使用寿命和安全性能。保证使用省力、摇动顺畅。</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配置清单：床头柜1个、餐板1块、输液架1根、床垫1张、引流挂钩4个、床底置物架1个。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15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床头柜</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一、外形尺寸</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尺寸：480*480*760mm，公差 ±10mm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1.整体采用原生ABS材料注塑成型，材料强度高，耐磨、耐刮、防腐蚀（防酸碱等），外形美观大方，颜色选用蓝白色。</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2.床头柜由柜体、面盖、柜门、抽屉、拉板、毛巾架等组成，拉板设计有水杯及温度计放置槽；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3.储物柜内空间大，配有隔板。</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4.柜体正床头柜形状为圆弧状，左右两侧面配有折叠隐藏式毛巾架，需用时将伸出，反之不用时收拢，放置在柜体侧面型体内，角度范围在90度；</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5.柜门拉手特点符合人体工学原理。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16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紫外线消毒车</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基本参数</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1.款式：移动式；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2.尺寸：950*440*350；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3.外壳材质：全金属折弯焊接成型，表面做防锈喷塑处理，结实耐用；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4.采用4个静音360°旋转车轮，移动方便；</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5.采用双灯管设计，可分别单管工作；</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6.灯臂可调角度：0-180°；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7.灯管长(灯脚):91cm；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8.熔断器规格：F3AL250V；</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9.紫外线辐射波长：253.7nm；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技术参数</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10.杀菌因子：紫外线</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11.灯管功率：2*30W；输入功率：≤60W</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12.紫外线强度：（距离灯管1m中心处)121μW/cm</w:t>
            </w:r>
            <w:r>
              <w:rPr>
                <w:rStyle w:val="29"/>
                <w:bdr w:val="none" w:color="auto" w:sz="0" w:space="0"/>
                <w:lang w:val="en-US" w:eastAsia="zh-CN" w:bidi="ar"/>
              </w:rPr>
              <w:t>²</w:t>
            </w:r>
            <w:r>
              <w:rPr>
                <w:rFonts w:hint="eastAsia" w:ascii="仿宋" w:hAnsi="仿宋" w:eastAsia="仿宋" w:cs="仿宋"/>
                <w:i w:val="0"/>
                <w:iCs w:val="0"/>
                <w:color w:val="000000"/>
                <w:kern w:val="0"/>
                <w:sz w:val="20"/>
                <w:szCs w:val="20"/>
                <w:u w:val="none"/>
                <w:bdr w:val="none" w:color="auto" w:sz="0" w:space="0"/>
                <w:lang w:val="en-US" w:eastAsia="zh-CN" w:bidi="ar"/>
              </w:rPr>
              <w:t>；</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13.消毒时间：0-120分钟可调；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14.使用寿命：5000h；</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15.工作电源： 220V±22V 50HZ±1HZ；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16.距离紫外线灯1m 处玻片上金黄色葡萄球菌，大肠杆菌，铜绿假单胞菌的杀灭对数值均＞3.00，符合GB28235-2020紫外线消毒器卫生要求；</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17.对距离紫外灯1m处物表表面自然菌杀灭对数值＞1.00。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17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等离子移动式空气消毒机</w:t>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Style w:val="22"/>
                <w:bdr w:val="none" w:color="auto" w:sz="0" w:space="0"/>
                <w:lang w:val="en-US" w:eastAsia="zh-CN" w:bidi="ar"/>
              </w:rPr>
              <w:t>技术参数：</w:t>
            </w:r>
            <w:r>
              <w:rPr>
                <w:rStyle w:val="22"/>
                <w:bdr w:val="none" w:color="auto" w:sz="0" w:space="0"/>
                <w:lang w:val="en-US" w:eastAsia="zh-CN" w:bidi="ar"/>
              </w:rPr>
              <w:br w:type="textWrapping"/>
            </w:r>
            <w:r>
              <w:rPr>
                <w:rStyle w:val="22"/>
                <w:bdr w:val="none" w:color="auto" w:sz="0" w:space="0"/>
                <w:lang w:val="en-US" w:eastAsia="zh-CN" w:bidi="ar"/>
              </w:rPr>
              <w:t>1、移动式，外观尺寸：340×430×970mm。</w:t>
            </w:r>
            <w:r>
              <w:rPr>
                <w:rStyle w:val="22"/>
                <w:bdr w:val="none" w:color="auto" w:sz="0" w:space="0"/>
                <w:lang w:val="en-US" w:eastAsia="zh-CN" w:bidi="ar"/>
              </w:rPr>
              <w:br w:type="textWrapping"/>
            </w:r>
            <w:r>
              <w:rPr>
                <w:rStyle w:val="22"/>
                <w:bdr w:val="none" w:color="auto" w:sz="0" w:space="0"/>
                <w:lang w:val="en-US" w:eastAsia="zh-CN" w:bidi="ar"/>
              </w:rPr>
              <w:t>2、适用体积：≤120m</w:t>
            </w:r>
            <w:r>
              <w:rPr>
                <w:rStyle w:val="30"/>
                <w:bdr w:val="none" w:color="auto" w:sz="0" w:space="0"/>
                <w:lang w:val="en-US" w:eastAsia="zh-CN" w:bidi="ar"/>
              </w:rPr>
              <w:t>³</w:t>
            </w:r>
            <w:r>
              <w:rPr>
                <w:rStyle w:val="22"/>
                <w:bdr w:val="none" w:color="auto" w:sz="0" w:space="0"/>
                <w:lang w:val="en-US" w:eastAsia="zh-CN" w:bidi="ar"/>
              </w:rPr>
              <w:t>。</w:t>
            </w:r>
            <w:r>
              <w:rPr>
                <w:rStyle w:val="22"/>
                <w:bdr w:val="none" w:color="auto" w:sz="0" w:space="0"/>
                <w:lang w:val="en-US" w:eastAsia="zh-CN" w:bidi="ar"/>
              </w:rPr>
              <w:br w:type="textWrapping"/>
            </w:r>
            <w:r>
              <w:rPr>
                <w:rStyle w:val="22"/>
                <w:bdr w:val="none" w:color="auto" w:sz="0" w:space="0"/>
                <w:lang w:val="en-US" w:eastAsia="zh-CN" w:bidi="ar"/>
              </w:rPr>
              <w:t>3、循环消毒风量：≥1200m</w:t>
            </w:r>
            <w:r>
              <w:rPr>
                <w:rStyle w:val="30"/>
                <w:bdr w:val="none" w:color="auto" w:sz="0" w:space="0"/>
                <w:lang w:val="en-US" w:eastAsia="zh-CN" w:bidi="ar"/>
              </w:rPr>
              <w:t>³</w:t>
            </w:r>
            <w:r>
              <w:rPr>
                <w:rStyle w:val="22"/>
                <w:bdr w:val="none" w:color="auto" w:sz="0" w:space="0"/>
                <w:lang w:val="en-US" w:eastAsia="zh-CN" w:bidi="ar"/>
              </w:rPr>
              <w:t>/h。</w:t>
            </w:r>
            <w:r>
              <w:rPr>
                <w:rStyle w:val="22"/>
                <w:bdr w:val="none" w:color="auto" w:sz="0" w:space="0"/>
                <w:lang w:val="en-US" w:eastAsia="zh-CN" w:bidi="ar"/>
              </w:rPr>
              <w:br w:type="textWrapping"/>
            </w:r>
            <w:r>
              <w:rPr>
                <w:rStyle w:val="22"/>
                <w:bdr w:val="none" w:color="auto" w:sz="0" w:space="0"/>
                <w:lang w:val="en-US" w:eastAsia="zh-CN" w:bidi="ar"/>
              </w:rPr>
              <w:t>▲4、采用1至13000V可调高压静电场吸附除尘、杀菌、消毒、除异味。</w:t>
            </w:r>
            <w:r>
              <w:rPr>
                <w:rStyle w:val="22"/>
                <w:bdr w:val="none" w:color="auto" w:sz="0" w:space="0"/>
                <w:lang w:val="en-US" w:eastAsia="zh-CN" w:bidi="ar"/>
              </w:rPr>
              <w:br w:type="textWrapping"/>
            </w:r>
            <w:r>
              <w:rPr>
                <w:rStyle w:val="22"/>
                <w:bdr w:val="none" w:color="auto" w:sz="0" w:space="0"/>
                <w:lang w:val="en-US" w:eastAsia="zh-CN" w:bidi="ar"/>
              </w:rPr>
              <w:t>5、等离子体发生器和等离子体机芯使用寿命≥30000小时。</w:t>
            </w:r>
            <w:r>
              <w:rPr>
                <w:rStyle w:val="22"/>
                <w:bdr w:val="none" w:color="auto" w:sz="0" w:space="0"/>
                <w:lang w:val="en-US" w:eastAsia="zh-CN" w:bidi="ar"/>
              </w:rPr>
              <w:br w:type="textWrapping"/>
            </w:r>
            <w:r>
              <w:rPr>
                <w:rStyle w:val="22"/>
                <w:bdr w:val="none" w:color="auto" w:sz="0" w:space="0"/>
                <w:lang w:val="en-US" w:eastAsia="zh-CN" w:bidi="ar"/>
              </w:rPr>
              <w:t>6、等离子体密度值为1.28×1017～6.36×1017m</w:t>
            </w:r>
            <w:r>
              <w:rPr>
                <w:rStyle w:val="30"/>
                <w:bdr w:val="none" w:color="auto" w:sz="0" w:space="0"/>
                <w:lang w:val="en-US" w:eastAsia="zh-CN" w:bidi="ar"/>
              </w:rPr>
              <w:t>³</w:t>
            </w:r>
            <w:r>
              <w:rPr>
                <w:rStyle w:val="22"/>
                <w:bdr w:val="none" w:color="auto" w:sz="0" w:space="0"/>
                <w:lang w:val="en-US" w:eastAsia="zh-CN" w:bidi="ar"/>
              </w:rPr>
              <w:t>.</w:t>
            </w:r>
            <w:r>
              <w:rPr>
                <w:rStyle w:val="22"/>
                <w:bdr w:val="none" w:color="auto" w:sz="0" w:space="0"/>
                <w:lang w:val="en-US" w:eastAsia="zh-CN" w:bidi="ar"/>
              </w:rPr>
              <w:br w:type="textWrapping"/>
            </w:r>
            <w:r>
              <w:rPr>
                <w:rStyle w:val="22"/>
                <w:bdr w:val="none" w:color="auto" w:sz="0" w:space="0"/>
                <w:lang w:val="en-US" w:eastAsia="zh-CN" w:bidi="ar"/>
              </w:rPr>
              <w:t>7、消毒后细菌总量≤150cfu/m3</w:t>
            </w:r>
            <w:r>
              <w:rPr>
                <w:rStyle w:val="22"/>
                <w:bdr w:val="none" w:color="auto" w:sz="0" w:space="0"/>
                <w:lang w:val="en-US" w:eastAsia="zh-CN" w:bidi="ar"/>
              </w:rPr>
              <w:br w:type="textWrapping"/>
            </w:r>
            <w:r>
              <w:rPr>
                <w:rStyle w:val="22"/>
                <w:bdr w:val="none" w:color="auto" w:sz="0" w:space="0"/>
                <w:lang w:val="en-US" w:eastAsia="zh-CN" w:bidi="ar"/>
              </w:rPr>
              <w:t>8、消毒时空气中臭氧浓度：≤0.16mg/m</w:t>
            </w:r>
            <w:r>
              <w:rPr>
                <w:rStyle w:val="30"/>
                <w:bdr w:val="none" w:color="auto" w:sz="0" w:space="0"/>
                <w:lang w:val="en-US" w:eastAsia="zh-CN" w:bidi="ar"/>
              </w:rPr>
              <w:t>³</w:t>
            </w:r>
            <w:r>
              <w:rPr>
                <w:rStyle w:val="22"/>
                <w:bdr w:val="none" w:color="auto" w:sz="0" w:space="0"/>
                <w:lang w:val="en-US" w:eastAsia="zh-CN" w:bidi="ar"/>
              </w:rPr>
              <w:t>。</w:t>
            </w:r>
            <w:r>
              <w:rPr>
                <w:rStyle w:val="22"/>
                <w:bdr w:val="none" w:color="auto" w:sz="0" w:space="0"/>
                <w:lang w:val="en-US" w:eastAsia="zh-CN" w:bidi="ar"/>
              </w:rPr>
              <w:br w:type="textWrapping"/>
            </w:r>
            <w:r>
              <w:rPr>
                <w:rStyle w:val="22"/>
                <w:bdr w:val="none" w:color="auto" w:sz="0" w:space="0"/>
                <w:lang w:val="en-US" w:eastAsia="zh-CN" w:bidi="ar"/>
              </w:rPr>
              <w:t>▲9、负离子发生量：≥2.15×107个/cm3。</w:t>
            </w:r>
            <w:r>
              <w:rPr>
                <w:rStyle w:val="22"/>
                <w:bdr w:val="none" w:color="auto" w:sz="0" w:space="0"/>
                <w:lang w:val="en-US" w:eastAsia="zh-CN" w:bidi="ar"/>
              </w:rPr>
              <w:br w:type="textWrapping"/>
            </w:r>
            <w:r>
              <w:rPr>
                <w:rStyle w:val="22"/>
                <w:bdr w:val="none" w:color="auto" w:sz="0" w:space="0"/>
                <w:lang w:val="en-US" w:eastAsia="zh-CN" w:bidi="ar"/>
              </w:rPr>
              <w:t>10、120m</w:t>
            </w:r>
            <w:r>
              <w:rPr>
                <w:rStyle w:val="30"/>
                <w:bdr w:val="none" w:color="auto" w:sz="0" w:space="0"/>
                <w:lang w:val="en-US" w:eastAsia="zh-CN" w:bidi="ar"/>
              </w:rPr>
              <w:t>³</w:t>
            </w:r>
            <w:r>
              <w:rPr>
                <w:rStyle w:val="22"/>
                <w:bdr w:val="none" w:color="auto" w:sz="0" w:space="0"/>
                <w:lang w:val="en-US" w:eastAsia="zh-CN" w:bidi="ar"/>
              </w:rPr>
              <w:t>空间消毒120min对空气中自然菌的杀灭率≥90%；20m</w:t>
            </w:r>
            <w:r>
              <w:rPr>
                <w:rStyle w:val="30"/>
                <w:bdr w:val="none" w:color="auto" w:sz="0" w:space="0"/>
                <w:lang w:val="en-US" w:eastAsia="zh-CN" w:bidi="ar"/>
              </w:rPr>
              <w:t>³</w:t>
            </w:r>
            <w:r>
              <w:rPr>
                <w:rStyle w:val="22"/>
                <w:bdr w:val="none" w:color="auto" w:sz="0" w:space="0"/>
                <w:lang w:val="en-US" w:eastAsia="zh-CN" w:bidi="ar"/>
              </w:rPr>
              <w:t>空间消毒20min对空气中白葡萄球菌杀灭率≥99.90%</w:t>
            </w:r>
            <w:r>
              <w:rPr>
                <w:rStyle w:val="22"/>
                <w:bdr w:val="none" w:color="auto" w:sz="0" w:space="0"/>
                <w:lang w:val="en-US" w:eastAsia="zh-CN" w:bidi="ar"/>
              </w:rPr>
              <w:br w:type="textWrapping"/>
            </w:r>
            <w:r>
              <w:rPr>
                <w:rStyle w:val="22"/>
                <w:bdr w:val="none" w:color="auto" w:sz="0" w:space="0"/>
                <w:lang w:val="en-US" w:eastAsia="zh-CN" w:bidi="ar"/>
              </w:rPr>
              <w:t xml:space="preserve">11、额定电压：AC 220V±22V，消毒功率：≤180W，额定频率：50Hz±1Hz，噪音：≤60dB </w:t>
            </w:r>
            <w:r>
              <w:rPr>
                <w:rStyle w:val="22"/>
                <w:bdr w:val="none" w:color="auto" w:sz="0" w:space="0"/>
                <w:lang w:val="en-US" w:eastAsia="zh-CN" w:bidi="ar"/>
              </w:rPr>
              <w:br w:type="textWrapping"/>
            </w:r>
            <w:r>
              <w:rPr>
                <w:rStyle w:val="22"/>
                <w:bdr w:val="none" w:color="auto" w:sz="0" w:space="0"/>
                <w:lang w:val="en-US" w:eastAsia="zh-CN" w:bidi="ar"/>
              </w:rPr>
              <w:t xml:space="preserve">性能特点： </w:t>
            </w:r>
            <w:r>
              <w:rPr>
                <w:rStyle w:val="22"/>
                <w:bdr w:val="none" w:color="auto" w:sz="0" w:space="0"/>
                <w:lang w:val="en-US" w:eastAsia="zh-CN" w:bidi="ar"/>
              </w:rPr>
              <w:br w:type="textWrapping"/>
            </w:r>
            <w:r>
              <w:rPr>
                <w:rStyle w:val="22"/>
                <w:bdr w:val="none" w:color="auto" w:sz="0" w:space="0"/>
                <w:lang w:val="en-US" w:eastAsia="zh-CN" w:bidi="ar"/>
              </w:rPr>
              <w:t>12、等离子发生器、电机、负氧离子故障自动检测故障提示、具有消毒及风量加强功能。</w:t>
            </w:r>
            <w:r>
              <w:rPr>
                <w:rStyle w:val="22"/>
                <w:bdr w:val="none" w:color="auto" w:sz="0" w:space="0"/>
                <w:lang w:val="en-US" w:eastAsia="zh-CN" w:bidi="ar"/>
              </w:rPr>
              <w:br w:type="textWrapping"/>
            </w:r>
            <w:r>
              <w:rPr>
                <w:rStyle w:val="22"/>
                <w:bdr w:val="none" w:color="auto" w:sz="0" w:space="0"/>
                <w:lang w:val="en-US" w:eastAsia="zh-CN" w:bidi="ar"/>
              </w:rPr>
              <w:t>13、程控、遥控、按键多控消毒运行，按键采用实体红外线遥控操作，具有程控定时功能.</w:t>
            </w:r>
            <w:r>
              <w:rPr>
                <w:rStyle w:val="22"/>
                <w:bdr w:val="none" w:color="auto" w:sz="0" w:space="0"/>
                <w:lang w:val="en-US" w:eastAsia="zh-CN" w:bidi="ar"/>
              </w:rPr>
              <w:br w:type="textWrapping"/>
            </w:r>
            <w:r>
              <w:rPr>
                <w:rStyle w:val="22"/>
                <w:bdr w:val="none" w:color="auto" w:sz="0" w:space="0"/>
                <w:lang w:val="en-US" w:eastAsia="zh-CN" w:bidi="ar"/>
              </w:rPr>
              <w:t>14、消毒可设置六个时间段，时间可任意设置。</w:t>
            </w:r>
            <w:r>
              <w:rPr>
                <w:rStyle w:val="22"/>
                <w:bdr w:val="none" w:color="auto" w:sz="0" w:space="0"/>
                <w:lang w:val="en-US" w:eastAsia="zh-CN" w:bidi="ar"/>
              </w:rPr>
              <w:br w:type="textWrapping"/>
            </w:r>
            <w:r>
              <w:rPr>
                <w:rStyle w:val="22"/>
                <w:bdr w:val="none" w:color="auto" w:sz="0" w:space="0"/>
                <w:lang w:val="en-US" w:eastAsia="zh-CN" w:bidi="ar"/>
              </w:rPr>
              <w:t>▲15、出风口工作时自动开启，关机自动关闭。</w:t>
            </w:r>
            <w:r>
              <w:rPr>
                <w:rStyle w:val="22"/>
                <w:bdr w:val="none" w:color="auto" w:sz="0" w:space="0"/>
                <w:lang w:val="en-US" w:eastAsia="zh-CN" w:bidi="ar"/>
              </w:rPr>
              <w:br w:type="textWrapping"/>
            </w:r>
            <w:r>
              <w:rPr>
                <w:rStyle w:val="22"/>
                <w:bdr w:val="none" w:color="auto" w:sz="0" w:space="0"/>
                <w:lang w:val="en-US" w:eastAsia="zh-CN" w:bidi="ar"/>
              </w:rPr>
              <w:t>16、工作时自动横向循环扫风，快速循环消毒室内空气。</w:t>
            </w:r>
            <w:r>
              <w:rPr>
                <w:rStyle w:val="22"/>
                <w:bdr w:val="none" w:color="auto" w:sz="0" w:space="0"/>
                <w:lang w:val="en-US" w:eastAsia="zh-CN" w:bidi="ar"/>
              </w:rPr>
              <w:br w:type="textWrapping"/>
            </w:r>
            <w:r>
              <w:rPr>
                <w:rStyle w:val="22"/>
                <w:bdr w:val="none" w:color="auto" w:sz="0" w:space="0"/>
                <w:lang w:val="en-US" w:eastAsia="zh-CN" w:bidi="ar"/>
              </w:rPr>
              <w:t>17、使用初中效活性炭网除臭等辅助消毒手段。</w:t>
            </w:r>
            <w:r>
              <w:rPr>
                <w:rStyle w:val="22"/>
                <w:bdr w:val="none" w:color="auto" w:sz="0" w:space="0"/>
                <w:lang w:val="en-US" w:eastAsia="zh-CN" w:bidi="ar"/>
              </w:rPr>
              <w:br w:type="textWrapping"/>
            </w:r>
            <w:r>
              <w:rPr>
                <w:rStyle w:val="22"/>
                <w:bdr w:val="none" w:color="auto" w:sz="0" w:space="0"/>
                <w:lang w:val="en-US" w:eastAsia="zh-CN" w:bidi="ar"/>
              </w:rPr>
              <w:t>18、独立外观设计，整机尺寸小巧方便，外设防滑扶手，推拉移动自如。</w:t>
            </w:r>
            <w:r>
              <w:rPr>
                <w:rStyle w:val="22"/>
                <w:bdr w:val="none" w:color="auto" w:sz="0" w:space="0"/>
                <w:lang w:val="en-US" w:eastAsia="zh-CN" w:bidi="ar"/>
              </w:rPr>
              <w:br w:type="textWrapping"/>
            </w:r>
            <w:r>
              <w:rPr>
                <w:rStyle w:val="22"/>
                <w:bdr w:val="none" w:color="auto" w:sz="0" w:space="0"/>
                <w:lang w:val="en-US" w:eastAsia="zh-CN" w:bidi="ar"/>
              </w:rPr>
              <w:t>19、手动设置消毒时间自动记忆、具有工作时间累积计时功能。</w:t>
            </w:r>
            <w:r>
              <w:rPr>
                <w:rStyle w:val="22"/>
                <w:bdr w:val="none" w:color="auto" w:sz="0" w:space="0"/>
                <w:lang w:val="en-US" w:eastAsia="zh-CN" w:bidi="ar"/>
              </w:rPr>
              <w:br w:type="textWrapping"/>
            </w:r>
            <w:r>
              <w:rPr>
                <w:rStyle w:val="22"/>
                <w:bdr w:val="none" w:color="auto" w:sz="0" w:space="0"/>
                <w:lang w:val="en-US" w:eastAsia="zh-CN" w:bidi="ar"/>
              </w:rPr>
              <w:t>▲20、全国消毒产品备案网备案通过，具备消毒产品安全评价报告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18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电动起立康复病床</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Style w:val="22"/>
                <w:bdr w:val="none" w:color="auto" w:sz="0" w:space="0"/>
                <w:lang w:val="en-US" w:eastAsia="zh-CN" w:bidi="ar"/>
              </w:rPr>
              <w:t>1.</w:t>
            </w:r>
            <w:r>
              <w:rPr>
                <w:rFonts w:hint="eastAsia" w:ascii="仿宋" w:hAnsi="仿宋" w:eastAsia="仿宋" w:cs="仿宋"/>
                <w:i w:val="0"/>
                <w:iCs w:val="0"/>
                <w:color w:val="000000"/>
                <w:kern w:val="0"/>
                <w:sz w:val="20"/>
                <w:szCs w:val="20"/>
                <w:u w:val="none"/>
                <w:bdr w:val="none" w:color="auto" w:sz="0" w:space="0"/>
                <w:lang w:val="en-US" w:eastAsia="zh-CN" w:bidi="ar"/>
              </w:rPr>
              <w:t>电动康复床结合了起立床的治疗功能与护理床的舒适设计；</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2.具有电动背起床面体位调节，为护理开展提供便捷；</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3.产品采用大推力静音医用电机，承重大，起立过程平稳、安全；</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4.一键式床挡开启与闭合，操作简单；</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5.手控盒操控系统，为临床工作带来便捷；</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6.采用医用慢速推杆，起立速度缓慢更，适用于长期卧床患者；</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7.全钢架结构，安全稳定；</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8.医用牛津布，抗菌性及透气性更强；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9.脚轮设计，快速锁定与开启，方便临床转移患者；</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10.电源电压：AC220V±22V ，频率:50Hz±1Hz；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11．电动推杆最大推力：10000N；</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12.电动推杆数量：3个；</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13.角度调节范围：</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起立角度范围：0°～82°</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背部床板可调角度：0°～67°</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14.床面升降范围：520～750mm；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15.绑带可移动，可拆卸床头、床尾架、床垫可拆；</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16.最大承重：170KG；</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17.重量：120KG；</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18.规格：</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外形尺寸：2050mm×920mm×940mm～2280mm；</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床面尺寸：1960×850；</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19.脚踏板尺寸：500*460mm。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19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经颅磁刺激仪</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1.主要技术参数:适应症：刺激人体中枢神经和外周神经,用于人体中枢神经和外周神经功能的检测、评定、改善，对脑神经及神经损伤性疾病的辅助治疗（仅用于检测和治疗研究不满足招标文件要求）；</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2.主机：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3.外观结构：一体式主机，脉冲源，冷却系统高度集成，可靠性佳；非堆叠结构，稳定性好，无倾覆、坠落风险。（彩页或官网截图证明）</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4.冷却系统：液态内循环冷却系统，非风冷或静态液冷或外循环液冷；冷却系统具备自主知识产权，可被证实降低噪音和节约能源。（提供专利证书加以证明）</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5.操作系统：笔记本电脑承载管理软件，非一体机或触摸屏。（提供笔记本电脑节能证书或3C证书）</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6.刺激线圈最大磁感应强度：1.0T~6T</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7.磁感应强度的最大变化率：至少包括20KT/s~80KT/s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8.脉冲上升时间：至少包括60μs±10μs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9.输出脉冲宽度：至少包括340μs±20μs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10.脉冲频率允差值：±2%（省级及以上医疗器械检测中心出具的检测报告证明）</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11.电介质强度：主机内部高压储能电容安全可靠，电介质强度可达4000VAC（省级及以上医疗器械检测中心出具的安规证明）</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12.安全预警：</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13.冷却系统流量过低，产品会弹出异常信息的提示文字，并自动关闭产品停止输出。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14.在设备连续工作中，可以通过按下设备面板上的停止开关，仪器立即停止输出。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15.按程序程控刺激功能进行工作，产品出现脉冲源故障时，会弹出异常信息的提示文字，并自动关闭产品停止输出。</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16.可记录电容放电次数，当电容放电次数达到上限时具有提示功能。</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17.磁刺激线圈表面温度≤40℃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206090"/>
                <w:sz w:val="20"/>
                <w:szCs w:val="20"/>
                <w:u w:val="none"/>
              </w:rPr>
            </w:pPr>
            <w:r>
              <w:rPr>
                <w:rFonts w:hint="eastAsia" w:ascii="仿宋" w:hAnsi="仿宋" w:eastAsia="仿宋" w:cs="仿宋"/>
                <w:i w:val="0"/>
                <w:iCs w:val="0"/>
                <w:color w:val="206090"/>
                <w:kern w:val="0"/>
                <w:sz w:val="20"/>
                <w:szCs w:val="20"/>
                <w:u w:val="none"/>
                <w:bdr w:val="none" w:color="auto" w:sz="0" w:space="0"/>
                <w:lang w:val="en-US" w:eastAsia="zh-CN" w:bidi="ar"/>
              </w:rPr>
              <w:t xml:space="preserve">20 </w:t>
            </w:r>
          </w:p>
        </w:tc>
        <w:tc>
          <w:tcPr>
            <w:tcW w:w="33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气动式气道廓清治疗仪</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p>
        </w:tc>
        <w:tc>
          <w:tcPr>
            <w:tcW w:w="57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1、产品组成：咳痰机由主机、连接器（一次性使用无菌产品）、血氧探头（选配）组成。其中主机由外壳、风机、电磁阀、电路板、流量传感器、电源模块、屏幕组成。连接器由面罩、导气软管、过滤器组成；</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2、适应范围：适用于医疗机构治疗不能咳嗽的患者，或者用来清除因咳嗽时的呼气峰流量降低而产生的分泌物；</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3、手动模式：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3.1吸气压力范围为0-7Kpa，参数连续可调，调节步频为0.1Kpa，最大值误差≤0.1Kpa，中间值误差≤0.04Kpa，最小值无误差≤0Kpa；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3.2呼气压力范围-7-0Kpa，参数连续可调，调节步频为0.1Kpa，最大值误差≤0.1Kpa，中间值误差≤0.18Kpa，最大值最小值误差≤0.04Kpa；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3.3吸气流量由高、中、低档可调；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4、自动模式：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4.1吸气压力范围为0-7Kpa，参数连续可调，调节步频为0.1Kpa；最大值误差≤0Kpa，中间值误差≤0.12Kpa，最小值无误差≤0Kpa；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4.2呼气压力范围-7-0Kpa，参数连续可调，调节步频为0.1Kpa，最大值误差≤0Kpa，中间值误差≤0.13Kpa，最大值最小值误差≤0Kpa；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4.3吸气流量由高、中、低档可调；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4.4吸气时间调节范围为0-5s,连续可调，调节步频为1s,误差0.09s，呼气时间调节范围为0-5s,连续可调，调节步频为1s,误差0.00s，间隔时间调节范围为0-5s,连续可调，调节步频为1s,误差0.07s。工作时间1-99min连续可调，调节步频为1min，误差0.04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5、高级模式：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5.1吸气压力范围为0-7Kpa，参数连续可调，调节步频为0.1Kpa，最大值误差≤0.06Kpa，中间值误差≤0Kpa，最小值无误差≤0.06Kpa；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5.2呼气压力范围-7-0Kpa，参数连续可调，调节步频为0.1Kpa，最大值误差≤0Kpa，中间值误差≤0.11Kpa，最大值最小值误差≤0.06Kpa；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5.3吸气流量由高、中、低档可调；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5.4吸气时间调节范围为0-5s,连续可调，调节步频为1s,误差0.16s，呼气时间调节范围为0-5s,连续可调，调节步频为1s,误差0.06s，间隔时间调节范围为0-5s,连续可调，调节步频为1s,误差0.09s；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5.5工作时间1-99min连续可调，调节步频为1min，误差0.04s；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5.6振荡功能：可选择吸气和呼气振荡，振荡频率5Hz,误差0.03Hz；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5.7血氧显示功能：可在机器运行过程中显示血氧，脉率数值；</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5.8呼吸触发功能：当患者在进行自主呼吸时，机器内置高精度传感器监测气路中气压变化后自动开始治疗；</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5.9设备指示功能：设备在工作时屏幕上会显示当前压力（显示分辨率0.1Kpa）、时间（显示分辨率0.1s）、潮气量（显示分辨率1ML ）和峰流速（显示分辨率1L/min）。</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5.10有效咳嗽检测功能:有效咳嗽数据统计，为临床治疗提供数据支持</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6、自定义模式：</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6.1序号1-10可选，自命名内容可定义</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6.1吸气压力范围为0-7Kpa，参数连续可调，调节步频为0.1Kpa，最大值误差≤0.00Kpa，中间值误差≤0.07Kpa，最小值无误差≤0.00Kpa；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6.2呼气压力范围-7-0Kpa，参数连续可调，调节步频为0.1Kpa，最大值误差≤0Kpa，中间值误差≤0.14Kpa，最大值最小值误差≤0.04Kpa；</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6.3吸气流量由高、中、低档可调；</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6.4吸气时间调节范围为0-5s,连续可调，调节步频为1s,误差0.16s，呼气时间调节范围为0-5s,连续可调，调节步频为1s,误差0.06s，间隔时间调节范围为0-5s,连续可调，调节步频为1s,误差0.09s；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6.5工作时间1-99min连续可调，调节步频为1min，误差0.44s；</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6.6振荡功能：可选择吸气和呼气振荡，振荡频率5Hz,误差0.04Hz；</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6.7血氧显示功能：可在机器运行过程中显示血氧，脉率数值；</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6.8呼吸触发功能：当患者在进行自主呼吸时，机器内置高精度传感器监测气路中气压变化后自动开始治疗；</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6.9设备指示功能：设备在工作时屏幕上会显示当前压力（显示分辨率0.1Kpa）、时间（显示分辨率0.1s）、潮气量（显示分辨率1ML ）和峰流速（显示分辨率1L/min）。</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7.主机可选配外接回路消毒系统，对主机内部进行消毒。</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8.高密封性控制模块:解决长期使用设备失压问题，使用有效期≥10年。</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9.高精度气压控制模块:实时监测气压数据，保证治疗安全。</w:t>
            </w:r>
          </w:p>
        </w:tc>
      </w:tr>
    </w:tbl>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lang w:val="en-US" w:eastAsia="zh-CN"/>
        </w:rPr>
      </w:pPr>
    </w:p>
    <w:sectPr>
      <w:pgSz w:w="11906" w:h="16838"/>
      <w:pgMar w:top="1440" w:right="1286" w:bottom="1440" w:left="13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xZWRlODUyMWU0YjIxZjIzNTY4NDNjNzc4NGZkZWYifQ=="/>
  </w:docVars>
  <w:rsids>
    <w:rsidRoot w:val="001372A9"/>
    <w:rsid w:val="00063AD1"/>
    <w:rsid w:val="000C0EE2"/>
    <w:rsid w:val="001372A9"/>
    <w:rsid w:val="004B3ED1"/>
    <w:rsid w:val="005656CE"/>
    <w:rsid w:val="006621DF"/>
    <w:rsid w:val="008A5815"/>
    <w:rsid w:val="00944AA7"/>
    <w:rsid w:val="00E33F0F"/>
    <w:rsid w:val="00F03C0F"/>
    <w:rsid w:val="024C6AA0"/>
    <w:rsid w:val="0CE65E4F"/>
    <w:rsid w:val="0EAA60E0"/>
    <w:rsid w:val="0EF1121D"/>
    <w:rsid w:val="186D2AD0"/>
    <w:rsid w:val="18D03DBD"/>
    <w:rsid w:val="1A5E5307"/>
    <w:rsid w:val="1B5767E5"/>
    <w:rsid w:val="1C204AFE"/>
    <w:rsid w:val="1CAC2742"/>
    <w:rsid w:val="1CB15B4D"/>
    <w:rsid w:val="229200EE"/>
    <w:rsid w:val="24400A52"/>
    <w:rsid w:val="26DA5DAF"/>
    <w:rsid w:val="29576FAC"/>
    <w:rsid w:val="2D1F7ACA"/>
    <w:rsid w:val="2F572D0F"/>
    <w:rsid w:val="349D2836"/>
    <w:rsid w:val="38D92FF2"/>
    <w:rsid w:val="3BD3519D"/>
    <w:rsid w:val="3FEB52E3"/>
    <w:rsid w:val="4349493C"/>
    <w:rsid w:val="45136EB1"/>
    <w:rsid w:val="4811580B"/>
    <w:rsid w:val="534E268B"/>
    <w:rsid w:val="5728063B"/>
    <w:rsid w:val="5FFE34F3"/>
    <w:rsid w:val="60B33F45"/>
    <w:rsid w:val="6181291F"/>
    <w:rsid w:val="62C77DFB"/>
    <w:rsid w:val="6577270C"/>
    <w:rsid w:val="6B4F3F91"/>
    <w:rsid w:val="6D0050F1"/>
    <w:rsid w:val="6E070B53"/>
    <w:rsid w:val="6EBF5078"/>
    <w:rsid w:val="6FAA4DE4"/>
    <w:rsid w:val="735C0F53"/>
    <w:rsid w:val="77530A8D"/>
    <w:rsid w:val="7D3C5B0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9"/>
    <w:pPr>
      <w:keepNext w:val="0"/>
      <w:keepLines w:val="0"/>
      <w:widowControl w:val="0"/>
      <w:spacing w:beforeLines="0" w:beforeAutospacing="0" w:afterLines="0" w:afterAutospacing="0" w:line="240" w:lineRule="auto"/>
      <w:jc w:val="center"/>
      <w:outlineLvl w:val="0"/>
    </w:pPr>
    <w:rPr>
      <w:rFonts w:ascii="黑体" w:hAnsi="黑体" w:eastAsia="黑体" w:cstheme="minorBidi"/>
      <w:kern w:val="0"/>
      <w:sz w:val="30"/>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5">
    <w:name w:val="Balloon Text"/>
    <w:basedOn w:val="1"/>
    <w:link w:val="13"/>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index 1"/>
    <w:basedOn w:val="1"/>
    <w:next w:val="1"/>
    <w:qFormat/>
    <w:uiPriority w:val="0"/>
  </w:style>
  <w:style w:type="table" w:styleId="11">
    <w:name w:val="Table Grid"/>
    <w:basedOn w:val="10"/>
    <w:qFormat/>
    <w:uiPriority w:val="0"/>
    <w:rPr>
      <w:rFonts w:ascii="Calibri" w:hAnsi="Calibri" w:eastAsia="宋体" w:cs="黑体"/>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批注框文本 Char"/>
    <w:link w:val="5"/>
    <w:semiHidden/>
    <w:qFormat/>
    <w:uiPriority w:val="99"/>
    <w:rPr>
      <w:rFonts w:ascii="Times New Roman" w:hAnsi="Times New Roman" w:eastAsia="宋体" w:cs="Times New Roman"/>
      <w:sz w:val="18"/>
      <w:szCs w:val="18"/>
    </w:rPr>
  </w:style>
  <w:style w:type="character" w:customStyle="1" w:styleId="14">
    <w:name w:val="页脚 Char"/>
    <w:link w:val="6"/>
    <w:qFormat/>
    <w:uiPriority w:val="99"/>
    <w:rPr>
      <w:sz w:val="18"/>
      <w:szCs w:val="18"/>
    </w:rPr>
  </w:style>
  <w:style w:type="character" w:customStyle="1" w:styleId="15">
    <w:name w:val="页眉 Char"/>
    <w:link w:val="7"/>
    <w:qFormat/>
    <w:uiPriority w:val="99"/>
    <w:rPr>
      <w:sz w:val="18"/>
      <w:szCs w:val="18"/>
    </w:rPr>
  </w:style>
  <w:style w:type="character" w:customStyle="1" w:styleId="16">
    <w:name w:val="font21"/>
    <w:basedOn w:val="12"/>
    <w:uiPriority w:val="0"/>
    <w:rPr>
      <w:rFonts w:hint="eastAsia" w:ascii="仿宋" w:hAnsi="仿宋" w:eastAsia="仿宋" w:cs="仿宋"/>
      <w:color w:val="000000"/>
      <w:sz w:val="20"/>
      <w:szCs w:val="20"/>
      <w:u w:val="none"/>
    </w:rPr>
  </w:style>
  <w:style w:type="character" w:customStyle="1" w:styleId="17">
    <w:name w:val="font51"/>
    <w:basedOn w:val="12"/>
    <w:uiPriority w:val="0"/>
    <w:rPr>
      <w:rFonts w:hint="eastAsia" w:ascii="仿宋" w:hAnsi="仿宋" w:eastAsia="仿宋" w:cs="仿宋"/>
      <w:color w:val="302010"/>
      <w:sz w:val="20"/>
      <w:szCs w:val="20"/>
      <w:u w:val="none"/>
    </w:rPr>
  </w:style>
  <w:style w:type="character" w:customStyle="1" w:styleId="18">
    <w:name w:val="font11"/>
    <w:basedOn w:val="12"/>
    <w:uiPriority w:val="0"/>
    <w:rPr>
      <w:rFonts w:hint="eastAsia" w:ascii="仿宋" w:hAnsi="仿宋" w:eastAsia="仿宋" w:cs="仿宋"/>
      <w:color w:val="205070"/>
      <w:sz w:val="20"/>
      <w:szCs w:val="20"/>
      <w:u w:val="none"/>
    </w:rPr>
  </w:style>
  <w:style w:type="character" w:customStyle="1" w:styleId="19">
    <w:name w:val="font41"/>
    <w:basedOn w:val="12"/>
    <w:uiPriority w:val="0"/>
    <w:rPr>
      <w:rFonts w:hint="eastAsia" w:ascii="仿宋" w:hAnsi="仿宋" w:eastAsia="仿宋" w:cs="仿宋"/>
      <w:color w:val="503040"/>
      <w:sz w:val="20"/>
      <w:szCs w:val="20"/>
      <w:u w:val="none"/>
    </w:rPr>
  </w:style>
  <w:style w:type="character" w:customStyle="1" w:styleId="20">
    <w:name w:val="font71"/>
    <w:basedOn w:val="12"/>
    <w:uiPriority w:val="0"/>
    <w:rPr>
      <w:rFonts w:hint="eastAsia" w:ascii="仿宋" w:hAnsi="仿宋" w:eastAsia="仿宋" w:cs="仿宋"/>
      <w:color w:val="305040"/>
      <w:sz w:val="20"/>
      <w:szCs w:val="20"/>
      <w:u w:val="none"/>
    </w:rPr>
  </w:style>
  <w:style w:type="character" w:customStyle="1" w:styleId="21">
    <w:name w:val="font81"/>
    <w:basedOn w:val="12"/>
    <w:uiPriority w:val="0"/>
    <w:rPr>
      <w:rFonts w:hint="eastAsia" w:ascii="仿宋" w:hAnsi="仿宋" w:eastAsia="仿宋" w:cs="仿宋"/>
      <w:color w:val="504020"/>
      <w:sz w:val="20"/>
      <w:szCs w:val="20"/>
      <w:u w:val="none"/>
    </w:rPr>
  </w:style>
  <w:style w:type="character" w:customStyle="1" w:styleId="22">
    <w:name w:val="font101"/>
    <w:basedOn w:val="12"/>
    <w:uiPriority w:val="0"/>
    <w:rPr>
      <w:rFonts w:hint="eastAsia" w:ascii="仿宋" w:hAnsi="仿宋" w:eastAsia="仿宋" w:cs="仿宋"/>
      <w:color w:val="000000"/>
      <w:sz w:val="20"/>
      <w:szCs w:val="20"/>
      <w:u w:val="none"/>
    </w:rPr>
  </w:style>
  <w:style w:type="character" w:customStyle="1" w:styleId="23">
    <w:name w:val="font121"/>
    <w:basedOn w:val="12"/>
    <w:uiPriority w:val="0"/>
    <w:rPr>
      <w:rFonts w:hint="eastAsia" w:ascii="仿宋" w:hAnsi="仿宋" w:eastAsia="仿宋" w:cs="仿宋"/>
      <w:b/>
      <w:bCs/>
      <w:color w:val="000000"/>
      <w:sz w:val="20"/>
      <w:szCs w:val="20"/>
      <w:u w:val="none"/>
    </w:rPr>
  </w:style>
  <w:style w:type="character" w:customStyle="1" w:styleId="24">
    <w:name w:val="font181"/>
    <w:basedOn w:val="12"/>
    <w:uiPriority w:val="0"/>
    <w:rPr>
      <w:rFonts w:hint="eastAsia" w:ascii="仿宋" w:hAnsi="仿宋" w:eastAsia="仿宋" w:cs="仿宋"/>
      <w:color w:val="205070"/>
      <w:sz w:val="20"/>
      <w:szCs w:val="20"/>
      <w:u w:val="none"/>
    </w:rPr>
  </w:style>
  <w:style w:type="character" w:customStyle="1" w:styleId="25">
    <w:name w:val="font191"/>
    <w:basedOn w:val="12"/>
    <w:uiPriority w:val="0"/>
    <w:rPr>
      <w:rFonts w:hint="eastAsia" w:ascii="仿宋" w:hAnsi="仿宋" w:eastAsia="仿宋" w:cs="仿宋"/>
      <w:color w:val="503040"/>
      <w:sz w:val="20"/>
      <w:szCs w:val="20"/>
      <w:u w:val="none"/>
    </w:rPr>
  </w:style>
  <w:style w:type="character" w:customStyle="1" w:styleId="26">
    <w:name w:val="font161"/>
    <w:basedOn w:val="12"/>
    <w:uiPriority w:val="0"/>
    <w:rPr>
      <w:rFonts w:hint="eastAsia" w:ascii="仿宋" w:hAnsi="仿宋" w:eastAsia="仿宋" w:cs="仿宋"/>
      <w:color w:val="305040"/>
      <w:sz w:val="20"/>
      <w:szCs w:val="20"/>
      <w:u w:val="none"/>
    </w:rPr>
  </w:style>
  <w:style w:type="character" w:customStyle="1" w:styleId="27">
    <w:name w:val="font201"/>
    <w:basedOn w:val="12"/>
    <w:uiPriority w:val="0"/>
    <w:rPr>
      <w:rFonts w:hint="eastAsia" w:ascii="仿宋" w:hAnsi="仿宋" w:eastAsia="仿宋" w:cs="仿宋"/>
      <w:color w:val="504020"/>
      <w:sz w:val="20"/>
      <w:szCs w:val="20"/>
      <w:u w:val="none"/>
    </w:rPr>
  </w:style>
  <w:style w:type="character" w:customStyle="1" w:styleId="28">
    <w:name w:val="font212"/>
    <w:basedOn w:val="12"/>
    <w:uiPriority w:val="0"/>
    <w:rPr>
      <w:rFonts w:hint="eastAsia" w:ascii="宋体" w:hAnsi="宋体" w:eastAsia="宋体" w:cs="宋体"/>
      <w:color w:val="000000"/>
      <w:sz w:val="20"/>
      <w:szCs w:val="20"/>
      <w:u w:val="none"/>
    </w:rPr>
  </w:style>
  <w:style w:type="character" w:customStyle="1" w:styleId="29">
    <w:name w:val="font221"/>
    <w:basedOn w:val="12"/>
    <w:uiPriority w:val="0"/>
    <w:rPr>
      <w:rFonts w:hint="eastAsia" w:ascii="宋体" w:hAnsi="宋体" w:eastAsia="宋体" w:cs="宋体"/>
      <w:color w:val="000000"/>
      <w:sz w:val="20"/>
      <w:szCs w:val="20"/>
      <w:u w:val="none"/>
    </w:rPr>
  </w:style>
  <w:style w:type="character" w:customStyle="1" w:styleId="30">
    <w:name w:val="font231"/>
    <w:basedOn w:val="12"/>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651</Words>
  <Characters>703</Characters>
  <Lines>4</Lines>
  <Paragraphs>1</Paragraphs>
  <TotalTime>7</TotalTime>
  <ScaleCrop>false</ScaleCrop>
  <LinksUpToDate>false</LinksUpToDate>
  <CharactersWithSpaces>709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2013-07-17T07:27:00Z</dcterms:created>
  <dc:creator>Administrator</dc:creator>
  <cp:lastModifiedBy>开往春天的手扶式拖拉机</cp:lastModifiedBy>
  <cp:lastPrinted>2026-09-20T01:58:28Z</cp:lastPrinted>
  <dcterms:modified xsi:type="dcterms:W3CDTF">2026-09-20T01:58:52Z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8D21734D7EF9450CB15016C0ED382884_13</vt:lpwstr>
  </property>
  <property fmtid="{D5CDD505-2E9C-101B-9397-08002B2CF9AE}" pid="4" name="KSOTemplateDocerSaveRecord">
    <vt:lpwstr>eyJoZGlkIjoiZWYzMWEzMzM0YjdiMmUzMDhiZTk1MGMxZmI3YjBmYzUiLCJ1c2VySWQiOiI1OTI5NDIxMDYifQ==</vt:lpwstr>
  </property>
</Properties>
</file>