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OLE_LINK1"/>
      <w:r>
        <w:rPr>
          <w:rFonts w:hint="eastAsia" w:ascii="方正小标宋简体" w:hAnsi="方正小标宋简体" w:eastAsia="方正小标宋简体" w:cs="方正小标宋简体"/>
          <w:b w:val="0"/>
          <w:bCs w:val="0"/>
          <w:sz w:val="44"/>
          <w:szCs w:val="44"/>
          <w:lang w:val="en-US" w:eastAsia="zh-CN"/>
        </w:rPr>
        <w:t>东江社区卫生服务中心</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康复设备一批采购项目需求调查公告</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为加强政府采购需求管理，确保采购需求的完整性及明确性, 根据《政府采购需求管理办法》（财库〔2021〕22号）、《广西壮族自治区财政厅关于转发财政部政府采购需求管理办法的通知》（桂财采〔2021〕67号）有关规定，</w:t>
      </w:r>
      <w:r>
        <w:rPr>
          <w:rFonts w:hint="eastAsia" w:ascii="仿宋" w:hAnsi="仿宋" w:eastAsia="仿宋" w:cs="仿宋"/>
          <w:color w:val="auto"/>
          <w:sz w:val="28"/>
          <w:szCs w:val="28"/>
          <w:highlight w:val="none"/>
          <w:lang w:val="en-US" w:eastAsia="zh-CN"/>
        </w:rPr>
        <w:t>我院</w:t>
      </w:r>
      <w:r>
        <w:rPr>
          <w:rFonts w:hint="eastAsia" w:ascii="仿宋" w:hAnsi="仿宋" w:eastAsia="仿宋" w:cs="仿宋"/>
          <w:color w:val="auto"/>
          <w:sz w:val="28"/>
          <w:szCs w:val="28"/>
          <w:highlight w:val="none"/>
        </w:rPr>
        <w:t>就“</w:t>
      </w:r>
      <w:r>
        <w:rPr>
          <w:rFonts w:hint="eastAsia" w:ascii="仿宋" w:hAnsi="仿宋" w:eastAsia="仿宋" w:cs="仿宋"/>
          <w:color w:val="auto"/>
          <w:sz w:val="28"/>
          <w:szCs w:val="28"/>
          <w:highlight w:val="none"/>
          <w:lang w:val="en-US" w:eastAsia="zh-CN"/>
        </w:rPr>
        <w:t>桂林市中西医结合医院康复设备一批</w:t>
      </w:r>
      <w:r>
        <w:rPr>
          <w:rFonts w:hint="eastAsia" w:ascii="仿宋" w:hAnsi="仿宋" w:eastAsia="仿宋" w:cs="仿宋"/>
          <w:color w:val="auto"/>
          <w:sz w:val="28"/>
          <w:szCs w:val="28"/>
          <w:highlight w:val="none"/>
        </w:rPr>
        <w:t>采购项目”向潜在市场主体开展采购需求调查，欢迎各市场主体积极</w:t>
      </w:r>
      <w:r>
        <w:rPr>
          <w:rFonts w:hint="eastAsia" w:ascii="仿宋" w:hAnsi="仿宋" w:eastAsia="仿宋" w:cs="仿宋"/>
          <w:color w:val="auto"/>
          <w:sz w:val="28"/>
          <w:szCs w:val="28"/>
          <w:highlight w:val="none"/>
          <w:lang w:val="en-US" w:eastAsia="zh-CN"/>
        </w:rPr>
        <w:t>参与</w:t>
      </w:r>
      <w:r>
        <w:rPr>
          <w:rFonts w:hint="eastAsia" w:ascii="仿宋" w:hAnsi="仿宋" w:eastAsia="仿宋" w:cs="仿宋"/>
          <w:color w:val="auto"/>
          <w:sz w:val="28"/>
          <w:szCs w:val="28"/>
          <w:highlight w:val="none"/>
        </w:rPr>
        <w:t>，现将有关事宜公告如下：</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一、项目基本情况</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采购内</w:t>
      </w:r>
      <w:r>
        <w:rPr>
          <w:rFonts w:hint="eastAsia" w:ascii="仿宋" w:hAnsi="仿宋" w:eastAsia="仿宋" w:cs="仿宋"/>
          <w:color w:val="auto"/>
          <w:sz w:val="28"/>
          <w:szCs w:val="28"/>
          <w:highlight w:val="none"/>
          <w:lang w:val="en-US" w:eastAsia="zh-CN"/>
        </w:rPr>
        <w:t>容：康复设备一批，具</w:t>
      </w:r>
      <w:r>
        <w:rPr>
          <w:rFonts w:hint="eastAsia" w:ascii="仿宋" w:hAnsi="仿宋" w:eastAsia="仿宋" w:cs="仿宋"/>
          <w:color w:val="auto"/>
          <w:sz w:val="28"/>
          <w:szCs w:val="28"/>
          <w:highlight w:val="none"/>
        </w:rPr>
        <w:t>体详见</w:t>
      </w:r>
      <w:r>
        <w:rPr>
          <w:rFonts w:hint="eastAsia" w:ascii="仿宋" w:hAnsi="仿宋" w:eastAsia="仿宋" w:cs="仿宋"/>
          <w:color w:val="auto"/>
          <w:sz w:val="28"/>
          <w:szCs w:val="28"/>
          <w:highlight w:val="none"/>
          <w:lang w:val="en-US" w:eastAsia="zh-CN"/>
        </w:rPr>
        <w:t>附件3</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val="en-US" w:eastAsia="zh-CN"/>
        </w:rPr>
        <w:t>表</w:t>
      </w:r>
      <w:r>
        <w:rPr>
          <w:rFonts w:hint="eastAsia" w:ascii="仿宋" w:hAnsi="仿宋" w:eastAsia="仿宋" w:cs="仿宋"/>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（二）产品质保期：整机质保≥2年</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二、采购需求调查内容</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本次采购需求调查内容如下：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1.公司简介（附件1）</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2.报价表（附件2）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3.资格证明材料（以下证明材料均需加盖单位公章）：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（1）设备生产厂家营业执照复印件；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（2）供应商营业执照复印件；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（3）法定代表人身份证正反面复印件，供应商的授权委托书原件、委托代理人身份证正反面复印件；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供应商参加政府采购活动前3年内在经营活动中没有重大违法记录及有关信用信息的书面声明或信用信息报告；供应商在“信用中国”网(www.creditchina.gov.cn)查询网站直接打印的信用查询记录,以及中国政府采购网(www.ccgp.gov.cn)等渠道列入失信被执行人、重大税收违法案件当事人名单、政府采购严重违法失信行为记录名单打印材料。</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val="en-US" w:eastAsia="zh-CN"/>
        </w:rPr>
        <w:t>偏离及</w:t>
      </w:r>
      <w:r>
        <w:rPr>
          <w:rFonts w:hint="eastAsia" w:ascii="仿宋" w:hAnsi="仿宋" w:eastAsia="仿宋" w:cs="仿宋"/>
          <w:color w:val="auto"/>
          <w:sz w:val="28"/>
          <w:szCs w:val="28"/>
          <w:highlight w:val="none"/>
        </w:rPr>
        <w:t>合理化建议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附件3</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三、采购需求调查方式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问卷调查</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四、采购需求调查要求</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市场主体资格要求</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满足《中华人民共和国政府采购法》第二十二条规定。</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对在“信用中国”网站(www.creditchina.gov.cn )、中国政府采购网(www.ccgp.gov.cn )等渠道列入失信被执行人、重大税收违法案件当事人名单、政府采购严重违法失信行为记录名单不得参与报名。</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调查反馈意见及材料送交方式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1.参询</w:t>
      </w:r>
      <w:r>
        <w:rPr>
          <w:rFonts w:hint="eastAsia" w:ascii="仿宋" w:hAnsi="仿宋" w:eastAsia="仿宋" w:cs="仿宋"/>
          <w:color w:val="auto"/>
          <w:sz w:val="28"/>
          <w:szCs w:val="28"/>
          <w:highlight w:val="none"/>
        </w:rPr>
        <w:t>邮件要求如下：邮件主题命名格式:项目名称+公司名称+市场需求调查；邮件内容：</w:t>
      </w:r>
      <w:r>
        <w:rPr>
          <w:rFonts w:hint="eastAsia" w:ascii="仿宋" w:hAnsi="仿宋" w:eastAsia="仿宋" w:cs="仿宋"/>
          <w:color w:val="auto"/>
          <w:sz w:val="28"/>
          <w:szCs w:val="28"/>
          <w:highlight w:val="none"/>
          <w:lang w:val="en-US" w:eastAsia="zh-CN"/>
        </w:rPr>
        <w:t>附件1-3及其他证明材料</w:t>
      </w:r>
      <w:r>
        <w:rPr>
          <w:rFonts w:hint="eastAsia" w:ascii="仿宋" w:hAnsi="仿宋" w:eastAsia="仿宋" w:cs="仿宋"/>
          <w:color w:val="auto"/>
          <w:sz w:val="28"/>
          <w:szCs w:val="28"/>
          <w:highlight w:val="none"/>
        </w:rPr>
        <w:t>（如有）。需提供扫描文件（格式：PDF）以及可编辑的Word格式电子文件（格式：doc或docx），并以邮件附件形式在递交截止时间前提交至邮箱</w:t>
      </w:r>
      <w:r>
        <w:rPr>
          <w:rFonts w:hint="eastAsia" w:ascii="仿宋" w:hAnsi="仿宋" w:eastAsia="仿宋" w:cs="仿宋"/>
          <w:color w:val="auto"/>
          <w:sz w:val="28"/>
          <w:szCs w:val="28"/>
          <w:highlight w:val="none"/>
          <w:lang w:val="en-US" w:eastAsia="zh-CN"/>
        </w:rPr>
        <w:t>791374105@qq</w:t>
      </w:r>
      <w:r>
        <w:rPr>
          <w:rFonts w:hint="eastAsia" w:ascii="仿宋" w:hAnsi="仿宋" w:eastAsia="仿宋" w:cs="仿宋"/>
          <w:color w:val="auto"/>
          <w:sz w:val="28"/>
          <w:szCs w:val="28"/>
          <w:highlight w:val="none"/>
        </w:rPr>
        <w:t>.com</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2.调研</w:t>
      </w:r>
      <w:r>
        <w:rPr>
          <w:rFonts w:hint="eastAsia" w:ascii="仿宋" w:hAnsi="仿宋" w:eastAsia="仿宋" w:cs="仿宋"/>
          <w:color w:val="auto"/>
          <w:sz w:val="28"/>
          <w:szCs w:val="28"/>
          <w:highlight w:val="none"/>
        </w:rPr>
        <w:t>材料递交截止时间：202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至</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17</w:t>
      </w:r>
      <w:r>
        <w:rPr>
          <w:rFonts w:hint="eastAsia" w:ascii="仿宋" w:hAnsi="仿宋" w:eastAsia="仿宋" w:cs="仿宋"/>
          <w:color w:val="auto"/>
          <w:sz w:val="28"/>
          <w:szCs w:val="28"/>
          <w:highlight w:val="none"/>
        </w:rPr>
        <w:t>时前。</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五、需求调查声明</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1.本次需求调查坚持公平、公正、公开原则。</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2.市场主体应对其所提供的意见及相关材料的真实性、准确性负责。</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3.市场主体针对本项目提供的反馈意见，仅作为确定合理采购需求的参考，如被采纳将直接体现在后续招标采购文件中，采购单位和咨询机构在本次需求调查过程中不向参与调查的市场主体收取或支付任何费用。</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4.本次调查仅为信息收集，不构成任何形式的承诺、合同或采购行为，本项目后续将按照政府采购法律法规规定开展采购活动。</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5.凡参加本次需求调查的市场主体均视为同意并接受上述声明。</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六、公告发布媒体</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桂林市中西医结合医院官网</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七、联系方式</w:t>
      </w:r>
      <w:bookmarkStart w:id="1" w:name="_GoBack"/>
      <w:bookmarkEnd w:id="1"/>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杨老师</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lang w:val="en-US" w:eastAsia="zh-CN"/>
        </w:rPr>
        <w:t>17777379199</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时间：2026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val="0"/>
        <w:spacing w:line="460" w:lineRule="exact"/>
        <w:ind w:firstLine="5600" w:firstLineChars="20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桂林市中西医结合医院</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仿宋"/>
          <w:color w:val="auto"/>
          <w:sz w:val="28"/>
          <w:szCs w:val="28"/>
          <w:highlight w:val="none"/>
        </w:rPr>
      </w:pPr>
    </w:p>
    <w:p>
      <w:pPr>
        <w:widowControl/>
        <w:jc w:val="left"/>
        <w:rPr>
          <w:rFonts w:hint="eastAsia" w:ascii="仿宋_GB2312" w:hAnsi="仿宋_GB2312" w:eastAsia="仿宋_GB2312" w:cs="仿宋_GB2312"/>
          <w:b/>
          <w:kern w:val="0"/>
          <w:sz w:val="28"/>
          <w:szCs w:val="28"/>
        </w:rPr>
      </w:pPr>
    </w:p>
    <w:p>
      <w:pPr>
        <w:widowControl/>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1</w:t>
      </w:r>
      <w:r>
        <w:rPr>
          <w:rFonts w:hint="eastAsia" w:ascii="仿宋_GB2312" w:hAnsi="仿宋_GB2312" w:eastAsia="仿宋_GB2312" w:cs="仿宋_GB2312"/>
          <w:b/>
          <w:kern w:val="0"/>
          <w:sz w:val="28"/>
          <w:szCs w:val="28"/>
        </w:rPr>
        <w:t>：</w:t>
      </w:r>
    </w:p>
    <w:p>
      <w:pPr>
        <w:jc w:val="center"/>
        <w:rPr>
          <w:rFonts w:ascii="Arial" w:hAnsi="Arial" w:cs="Arial"/>
          <w:b/>
          <w:sz w:val="30"/>
          <w:szCs w:val="30"/>
        </w:rPr>
      </w:pPr>
      <w:r>
        <w:rPr>
          <w:rFonts w:hint="eastAsia" w:ascii="Arial" w:hAnsi="Arial" w:cs="Arial"/>
          <w:b/>
          <w:sz w:val="30"/>
          <w:szCs w:val="30"/>
          <w:lang w:val="en-US" w:eastAsia="zh-CN"/>
        </w:rPr>
        <w:t>桂林市中西医结合医院</w:t>
      </w:r>
      <w:r>
        <w:rPr>
          <w:rFonts w:hint="eastAsia" w:ascii="Arial" w:hAnsi="Arial" w:cs="Arial"/>
          <w:b/>
          <w:sz w:val="30"/>
          <w:szCs w:val="30"/>
          <w:lang w:eastAsia="zh-CN"/>
        </w:rPr>
        <w:t>市场调研</w:t>
      </w:r>
      <w:r>
        <w:rPr>
          <w:rFonts w:ascii="Arial" w:hAnsi="Arial" w:cs="Arial"/>
          <w:b/>
          <w:sz w:val="30"/>
          <w:szCs w:val="30"/>
        </w:rPr>
        <w:t>报名表</w:t>
      </w:r>
    </w:p>
    <w:tbl>
      <w:tblPr>
        <w:tblStyle w:val="11"/>
        <w:tblW w:w="9719"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2848"/>
        <w:gridCol w:w="1911"/>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投标</w:t>
            </w:r>
            <w:r>
              <w:rPr>
                <w:rFonts w:hint="eastAsia" w:ascii="仿宋" w:hAnsi="仿宋" w:eastAsia="仿宋" w:cs="仿宋"/>
                <w:kern w:val="0"/>
                <w:sz w:val="28"/>
                <w:szCs w:val="28"/>
                <w:lang w:eastAsia="zh-CN"/>
              </w:rPr>
              <w:t>单位</w:t>
            </w:r>
            <w:r>
              <w:rPr>
                <w:rFonts w:hint="eastAsia" w:ascii="仿宋" w:hAnsi="仿宋" w:eastAsia="仿宋" w:cs="仿宋"/>
                <w:kern w:val="0"/>
                <w:sz w:val="28"/>
                <w:szCs w:val="28"/>
              </w:rPr>
              <w:t>名称</w:t>
            </w:r>
          </w:p>
        </w:tc>
        <w:tc>
          <w:tcPr>
            <w:tcW w:w="7516" w:type="dxa"/>
            <w:gridSpan w:val="3"/>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项目名称</w:t>
            </w:r>
          </w:p>
        </w:tc>
        <w:tc>
          <w:tcPr>
            <w:tcW w:w="7516" w:type="dxa"/>
            <w:gridSpan w:val="3"/>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报名时间</w:t>
            </w:r>
          </w:p>
        </w:tc>
        <w:tc>
          <w:tcPr>
            <w:tcW w:w="7516" w:type="dxa"/>
            <w:gridSpan w:val="3"/>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年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纳税人识别号</w:t>
            </w:r>
          </w:p>
        </w:tc>
        <w:tc>
          <w:tcPr>
            <w:tcW w:w="7516" w:type="dxa"/>
            <w:gridSpan w:val="3"/>
            <w:vAlign w:val="center"/>
          </w:tcPr>
          <w:p>
            <w:pPr>
              <w:jc w:val="center"/>
              <w:rPr>
                <w:rFonts w:hint="eastAsia"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2203" w:type="dxa"/>
            <w:vMerge w:val="restart"/>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联系方式</w:t>
            </w:r>
          </w:p>
        </w:tc>
        <w:tc>
          <w:tcPr>
            <w:tcW w:w="2848" w:type="dxa"/>
            <w:vMerge w:val="restart"/>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sym w:font="Wingdings 2" w:char="00A3"/>
            </w:r>
            <w:r>
              <w:rPr>
                <w:rFonts w:hint="eastAsia" w:ascii="仿宋" w:hAnsi="仿宋" w:eastAsia="仿宋" w:cs="仿宋"/>
                <w:kern w:val="0"/>
                <w:sz w:val="28"/>
                <w:szCs w:val="28"/>
              </w:rPr>
              <w:t>企业法人代表</w:t>
            </w:r>
          </w:p>
          <w:p>
            <w:pPr>
              <w:ind w:firstLine="560" w:firstLineChars="200"/>
              <w:jc w:val="both"/>
              <w:rPr>
                <w:rFonts w:hint="eastAsia" w:ascii="仿宋" w:hAnsi="仿宋" w:eastAsia="仿宋" w:cs="仿宋"/>
                <w:kern w:val="0"/>
                <w:sz w:val="28"/>
                <w:szCs w:val="28"/>
              </w:rPr>
            </w:pPr>
            <w:r>
              <w:rPr>
                <w:rFonts w:hint="eastAsia" w:ascii="仿宋" w:hAnsi="仿宋" w:eastAsia="仿宋" w:cs="仿宋"/>
                <w:kern w:val="0"/>
                <w:sz w:val="28"/>
                <w:szCs w:val="28"/>
              </w:rPr>
              <w:t>□授权代表</w:t>
            </w: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姓名</w:t>
            </w:r>
          </w:p>
        </w:tc>
        <w:tc>
          <w:tcPr>
            <w:tcW w:w="2757" w:type="dxa"/>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身份证号码</w:t>
            </w:r>
          </w:p>
        </w:tc>
        <w:tc>
          <w:tcPr>
            <w:tcW w:w="2757" w:type="dxa"/>
            <w:vAlign w:val="center"/>
          </w:tcPr>
          <w:p>
            <w:pPr>
              <w:jc w:val="center"/>
              <w:rPr>
                <w:rFonts w:hint="eastAsia"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手机</w:t>
            </w:r>
          </w:p>
        </w:tc>
        <w:tc>
          <w:tcPr>
            <w:tcW w:w="2757" w:type="dxa"/>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邮箱</w:t>
            </w:r>
          </w:p>
        </w:tc>
        <w:tc>
          <w:tcPr>
            <w:tcW w:w="2757" w:type="dxa"/>
            <w:vAlign w:val="center"/>
          </w:tcPr>
          <w:p>
            <w:pPr>
              <w:jc w:val="center"/>
              <w:rPr>
                <w:rFonts w:hint="eastAsia" w:ascii="仿宋" w:hAnsi="仿宋" w:eastAsia="仿宋" w:cs="仿宋"/>
                <w:kern w:val="0"/>
                <w:sz w:val="28"/>
                <w:szCs w:val="28"/>
              </w:rPr>
            </w:pPr>
          </w:p>
        </w:tc>
      </w:tr>
    </w:tbl>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附件2</w:t>
      </w:r>
    </w:p>
    <w:p>
      <w:pPr>
        <w:widowControl/>
        <w:jc w:val="center"/>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rPr>
        <w:t>报价表</w:t>
      </w:r>
    </w:p>
    <w:p>
      <w:pPr>
        <w:widowControl/>
        <w:ind w:firstLine="6957" w:firstLineChars="3300"/>
        <w:jc w:val="left"/>
        <w:rPr>
          <w:rFonts w:hint="eastAsia"/>
          <w:lang w:val="en-US" w:eastAsia="zh-CN"/>
        </w:rPr>
      </w:pPr>
      <w:r>
        <w:rPr>
          <w:rFonts w:hint="eastAsia" w:ascii="仿宋_GB2312" w:hAnsi="仿宋_GB2312" w:eastAsia="仿宋_GB2312" w:cs="仿宋_GB2312"/>
          <w:b/>
          <w:bCs/>
          <w:kern w:val="0"/>
          <w:sz w:val="21"/>
          <w:szCs w:val="21"/>
          <w:lang w:eastAsia="zh-CN"/>
        </w:rPr>
        <w:t>单位：万元</w:t>
      </w:r>
    </w:p>
    <w:tbl>
      <w:tblPr>
        <w:tblStyle w:val="11"/>
        <w:tblW w:w="9852" w:type="dxa"/>
        <w:tblInd w:w="-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833"/>
        <w:gridCol w:w="814"/>
        <w:gridCol w:w="1632"/>
        <w:gridCol w:w="1279"/>
        <w:gridCol w:w="1188"/>
        <w:gridCol w:w="1188"/>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730"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序号</w:t>
            </w:r>
          </w:p>
        </w:tc>
        <w:tc>
          <w:tcPr>
            <w:tcW w:w="1833"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设备名称</w:t>
            </w:r>
          </w:p>
        </w:tc>
        <w:tc>
          <w:tcPr>
            <w:tcW w:w="814"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数量</w:t>
            </w:r>
          </w:p>
        </w:tc>
        <w:tc>
          <w:tcPr>
            <w:tcW w:w="1632" w:type="dxa"/>
            <w:vAlign w:val="center"/>
          </w:tcPr>
          <w:p>
            <w:pPr>
              <w:jc w:val="center"/>
              <w:rPr>
                <w:rFonts w:hint="default"/>
                <w:szCs w:val="22"/>
                <w:lang w:val="en-US" w:eastAsia="zh-CN"/>
              </w:rPr>
            </w:pPr>
            <w:r>
              <w:rPr>
                <w:rFonts w:hint="eastAsia" w:ascii="仿宋" w:hAnsi="仿宋" w:eastAsia="仿宋" w:cs="仿宋"/>
                <w:b/>
                <w:bCs/>
                <w:kern w:val="2"/>
                <w:sz w:val="24"/>
                <w:szCs w:val="24"/>
                <w:vertAlign w:val="baseline"/>
                <w:lang w:val="en-US" w:eastAsia="zh-CN" w:bidi="ar-SA"/>
              </w:rPr>
              <w:t>生产厂家</w:t>
            </w:r>
          </w:p>
        </w:tc>
        <w:tc>
          <w:tcPr>
            <w:tcW w:w="1279"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型号</w:t>
            </w:r>
          </w:p>
        </w:tc>
        <w:tc>
          <w:tcPr>
            <w:tcW w:w="1188" w:type="dxa"/>
            <w:vAlign w:val="center"/>
          </w:tcPr>
          <w:p>
            <w:pPr>
              <w:jc w:val="center"/>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单价</w:t>
            </w:r>
          </w:p>
        </w:tc>
        <w:tc>
          <w:tcPr>
            <w:tcW w:w="1188" w:type="dxa"/>
            <w:vAlign w:val="center"/>
          </w:tcPr>
          <w:p>
            <w:pPr>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总价</w:t>
            </w:r>
          </w:p>
        </w:tc>
        <w:tc>
          <w:tcPr>
            <w:tcW w:w="1188" w:type="dxa"/>
            <w:vAlign w:val="center"/>
          </w:tcPr>
          <w:p>
            <w:pPr>
              <w:jc w:val="center"/>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kern w:val="2"/>
                <w:sz w:val="24"/>
                <w:szCs w:val="24"/>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833"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上下肢主被动运动康复机</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833"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全胸振荡排痰机</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1833" w:type="dxa"/>
            <w:vAlign w:val="center"/>
          </w:tcPr>
          <w:p>
            <w:pPr>
              <w:keepNext w:val="0"/>
              <w:keepLines w:val="0"/>
              <w:widowControl/>
              <w:suppressLineNumbers w:val="0"/>
              <w:jc w:val="center"/>
              <w:textAlignment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气动式关节智能康复系统</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1833"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电动康复床</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1833"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中频电疗仪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（必须说明中治疗范围有偏瘫 脑血管病中风）</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1833"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吞咽神经和肌肉电刺激仪</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1833"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病床</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24</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30"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1833"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体外冲击波治疗仪</w:t>
            </w:r>
          </w:p>
        </w:tc>
        <w:tc>
          <w:tcPr>
            <w:tcW w:w="814"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632" w:type="dxa"/>
            <w:vAlign w:val="center"/>
          </w:tcPr>
          <w:p>
            <w:pPr>
              <w:keepNext w:val="0"/>
              <w:keepLines w:val="0"/>
              <w:widowControl/>
              <w:suppressLineNumbers w:val="0"/>
              <w:jc w:val="center"/>
              <w:textAlignment w:val="center"/>
              <w:rPr>
                <w:rFonts w:hint="default" w:ascii="仿宋" w:hAnsi="仿宋" w:eastAsia="仿宋" w:cs="仿宋"/>
                <w:b w:val="0"/>
                <w:bCs w:val="0"/>
                <w:kern w:val="2"/>
                <w:sz w:val="24"/>
                <w:szCs w:val="24"/>
                <w:vertAlign w:val="baseline"/>
                <w:lang w:val="en-US" w:eastAsia="zh-CN" w:bidi="ar-SA"/>
              </w:rPr>
            </w:pPr>
          </w:p>
        </w:tc>
        <w:tc>
          <w:tcPr>
            <w:tcW w:w="1279" w:type="dxa"/>
            <w:vAlign w:val="center"/>
          </w:tcPr>
          <w:p>
            <w:pPr>
              <w:jc w:val="center"/>
              <w:rPr>
                <w:rFonts w:hint="default"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6288" w:type="dxa"/>
            <w:gridSpan w:val="5"/>
            <w:vAlign w:val="center"/>
          </w:tcPr>
          <w:p>
            <w:pPr>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合计</w:t>
            </w: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c>
          <w:tcPr>
            <w:tcW w:w="1188" w:type="dxa"/>
            <w:vAlign w:val="center"/>
          </w:tcPr>
          <w:p>
            <w:pPr>
              <w:jc w:val="center"/>
              <w:rPr>
                <w:rFonts w:hint="eastAsia" w:ascii="仿宋" w:hAnsi="仿宋" w:eastAsia="仿宋" w:cs="仿宋"/>
                <w:b w:val="0"/>
                <w:bCs w:val="0"/>
                <w:kern w:val="2"/>
                <w:sz w:val="24"/>
                <w:szCs w:val="24"/>
                <w:vertAlign w:val="baseline"/>
                <w:lang w:val="en-US" w:eastAsia="zh-CN" w:bidi="ar-SA"/>
              </w:rPr>
            </w:pPr>
          </w:p>
        </w:tc>
      </w:tr>
    </w:tbl>
    <w:p>
      <w:pPr>
        <w:pStyle w:val="8"/>
        <w:widowControl/>
        <w:spacing w:before="0" w:beforeAutospacing="0" w:after="0" w:afterAutospacing="0" w:line="500" w:lineRule="exact"/>
        <w:jc w:val="both"/>
        <w:textAlignment w:val="baseline"/>
        <w:rPr>
          <w:rFonts w:hint="eastAsia" w:ascii="仿宋_GB2312" w:hAnsi="仿宋_GB2312" w:eastAsia="仿宋_GB2312" w:cs="仿宋_GB2312"/>
          <w:color w:val="333333"/>
          <w:sz w:val="28"/>
          <w:szCs w:val="28"/>
        </w:rPr>
      </w:pP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供应商（公章）：</w:t>
      </w: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法定代表人或委托代理人签名：</w:t>
      </w:r>
    </w:p>
    <w:p>
      <w:pPr>
        <w:pStyle w:val="8"/>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日 期：</w:t>
      </w: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3</w:t>
      </w:r>
      <w:r>
        <w:rPr>
          <w:rFonts w:hint="eastAsia" w:ascii="仿宋_GB2312" w:hAnsi="仿宋_GB2312" w:eastAsia="仿宋_GB2312" w:cs="仿宋_GB2312"/>
          <w:b/>
          <w:kern w:val="0"/>
          <w:sz w:val="28"/>
          <w:szCs w:val="28"/>
        </w:rPr>
        <w:t>：</w:t>
      </w:r>
    </w:p>
    <w:p>
      <w:pPr>
        <w:pStyle w:val="2"/>
        <w:rPr>
          <w:rFonts w:hint="default"/>
          <w:lang w:val="en-US" w:eastAsia="zh-CN"/>
        </w:rPr>
      </w:pPr>
    </w:p>
    <w:p>
      <w:pPr>
        <w:keepNext w:val="0"/>
        <w:keepLines w:val="0"/>
        <w:widowControl w:val="0"/>
        <w:suppressLineNumbers w:val="0"/>
        <w:snapToGrid w:val="0"/>
        <w:spacing w:before="100" w:beforeAutospacing="1" w:after="0" w:afterAutospacing="0"/>
        <w:ind w:left="0" w:right="0"/>
        <w:jc w:val="center"/>
        <w:rPr>
          <w:rFonts w:hint="eastAsia" w:ascii="黑体" w:hAnsi="宋体" w:eastAsia="黑体" w:cs="黑体"/>
          <w:b w:val="0"/>
          <w:bCs w:val="0"/>
          <w:kern w:val="2"/>
          <w:sz w:val="44"/>
          <w:szCs w:val="44"/>
        </w:rPr>
      </w:pPr>
      <w:r>
        <w:rPr>
          <w:rFonts w:hint="eastAsia" w:ascii="方正小标宋简体" w:hAnsi="方正小标宋简体" w:eastAsia="方正小标宋简体" w:cs="方正小标宋简体"/>
          <w:b w:val="0"/>
          <w:bCs w:val="0"/>
          <w:kern w:val="2"/>
          <w:sz w:val="44"/>
          <w:szCs w:val="44"/>
          <w:lang w:val="en-US" w:eastAsia="zh-CN" w:bidi="ar"/>
        </w:rPr>
        <w:t>采购需求表</w:t>
      </w:r>
    </w:p>
    <w:p>
      <w:pPr>
        <w:pStyle w:val="3"/>
        <w:keepNext w:val="0"/>
        <w:keepLines w:val="0"/>
        <w:pageBreakBefore w:val="0"/>
        <w:kinsoku/>
        <w:wordWrap/>
        <w:overflowPunct/>
        <w:topLinePunct w:val="0"/>
        <w:autoSpaceDE/>
        <w:autoSpaceDN/>
        <w:bidi w:val="0"/>
        <w:adjustRightInd/>
        <w:snapToGrid/>
        <w:spacing w:line="500" w:lineRule="exact"/>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上下肢主被动运动康复机</w:t>
      </w:r>
    </w:p>
    <w:bookmarkEnd w:id="0"/>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1.结构及组成：由下肢训练器、脚踏板、下肢引导器（含小腿支架）、上肢训练器、把手、护手托板、操作显示面板组成；</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2.一台设备可提供上肢与下肢的运动康复训练；</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3.阻力设定范围≥0-20Nm,档间距1Nm,允许误差±1Nm；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4.★上、下肢被动训练转数≥0-60rpm, 步距1rpm,允许误差±10%；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5.被动训练上肢电机动力最大输出≥9.2Nm，允许误差±20%；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6.被动训练下肢电机动力最大输出≥16Nm，允许误差±20%；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7.定时设置范围≥0-120min,步进可调，步距1min，允许误差±10%；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8.痉挛等级：高、中、低三档；</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9.电机等级：高、中、低三档；</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10.康复机上肢训练盘旋转面垂直调整角度90°；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11.上肢训练臂可进行水平方向180°旋转；</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12.★上肢训练方式：上肢训练臂可进行垂直方向90度旋转，具有上肢垂直圆周运动与水平圆周运动变换功能；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13.患者管理系统：具有训练方案、病例档案存储查询管理功能；可利用智能卡或U盘进行训练方案、病例档案管理，联机打印训练结果；</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14.具有对称性训练功能；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15.具有训练时间、训练速度、训练阻力及训练模式的设定功能；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16.具有语音提示功能，实时播报患者当前运动状态；</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17.具有智能探测痉挛、缓解痉挛的功能，痉挛探测可进行关闭或开启设置；</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18.训练期间显示：运动时间、运动阻力、运动速度、对称性、主被动及痉挛显示；</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19.训练结束后显示运动里程、运动时间、能量消耗、训练的主动被动速度、痉挛次数、肌肉张力、对称性；</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20.安全防护：异常声音控制、急停按钮、过速保护；</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21.主、被动训练模式可自由转换或可手动选择；</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22.训练方向：正转与反转，通过方向键可改变转动方向或可定时改变方向；</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23.★训练模式：被动模式、助力模式、主被动模式、主动模式、抗痉挛模式、对称性模式、自动模式；</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24.上肢训练把手：上肢直手柄、上肢拐臂手柄、上肢托架，一键式更换，便捷高效；</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25.护腿板高度可调节，适用于不同身高患者使用；</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26.设备具有开机自检功能。"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全胸振荡排痰机</w:t>
      </w:r>
    </w:p>
    <w:p>
      <w:pPr>
        <w:pStyle w:val="2"/>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1、适用范围：用于胸腔外部处置时进行气道清除排痰治疗，适用于分泌物排出困难或由粘液阻塞引起的肺膨胀不全患者，同时促进气道清除排痰或改善支气管引流。</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2、主要构成：由主机（内置气动脉冲发生器）、导气软管、充气背心和手控器组成。</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3、结构形式：便携式兼备台式功能（可装配撑杆座）。</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4、显示方式：彩色液晶界面显示方式。</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5、按键方式：一键飞梭的操作方式，提供专利证书作为佐证，所有功能的调节仅需通过对一个键施以旋转及按压动作即可全部完成。</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6、导气方式：采用二根导气软管同步向充气背心充、放气。软管长度120～200cm，管内直径25～35mm。</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7、能快速拆装并可独立清洗的全胸充气背心，提供专利证书作为佐证：背心由外套及气囊两部分组成，可以拆卸，外套可按普通衣物的方式随时清洗，背心胸围尺寸43～175cm。</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8、压力范围：0.5kpa～3.2kpa，分10档可调，步距增量0.3kpa。</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9、振动频率：5Hz～30Hz，连续可调，歩距增量1Hz。</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10、手动模式：治疗中压力及频率可随时调节。</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★11、自动模式：按体型不同而分级定制，共有5种自动程序模式，压力及频率是固定值、不可调。</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5种模式为：(6Hz-7Hz-8Hz-7Hz)、(7Hz-8Hz-10Hz-8Hz)、(8Hz-10Hz-12Hz-9Hz)、</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(9Hz-11Hz-13Hz-10Hz)、(10Hz-13Hz-15Hz-11Hz)，设备可按照选定的阶梯模式运行。</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12、自定义模式：治疗前设定各时段的压力及频率，治疗中不可调。</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13、定时时间：自动模式、自定义模式分为5min、10min、15min和20min四档。</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手动模式1min～99min连续可调，歩距1min</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14、设备标配的手控触发器有“加压”、 “启动”、“停止”三项功能,必要时可利用手控器进行快速停机。</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15、具有储存和查询历史治疗信息的功能。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气动式关节智能康复系统</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lang w:val="en-US" w:eastAsia="zh-CN"/>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原理：通过空气压力和软体固定手套驱使手指关节活动使患者被动的做抓握或拉伸训练，使手部痉挛，麻痹、瘫痪等症状得到极大改善，通过主从式镜像训练和主动游戏训练对侧训练手段刺激大脑运动皮层，更有效促进脑部神经的康复。</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二、功能参数</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★1、屏幕为≥13.2英寸液晶触摸屏，全中文导航:通过主界面直接选择到训练界面，操作简单。</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2、单/双/三通道切换，可最多同时连接3只手套供3人同时使用。</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3、主动训练模式包括：手控训练、助力训练、阻抗训练、抓球训练</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4、被动训练模式包括：抓握训练、手指按压训练</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5、阻抗训练：佩戴好训练手套后，语音播报提示患者握拳或者松开，机器开始反向训练，使手套屈伸或者抓握。</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6、助力训练：佩戴好训练手套后，语音播报提示患者放松，机器自动助力患者进行抓握训练。</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★7、手指按压训练：通过按摩手套配件，对手部进行按摩训练。</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8、训练时间：1-99分钟可调，10分钟、20分钟、30分钟的预设时间可选，运行速度范围 60°～200°/s，主机输出安全压力-85KPa~180KPa，康复手套四指活动范围 -35°～270，压力保持时间：1秒-15秒可调，训练强度1-6档可调</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9、训练力度：可通过主机和手套结构进行双重调节。</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手套调节功能：手套拉伸装置具备七档的物理调节功能。</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10、防痉挛功能：机器运行速度范围为60°/s-200°/s，误差应≤±10%，机器速度适宜，防止产生痉挛。</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★11、核心配件：采用两个气泵独立控制，一个控制抓握，一个控制背伸，气泵的连续工作寿命≥1500小时，使用有效期≥10年，含分体式副机4台，全指分指训练手套＋镜像训练手套4对。</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电动康复床</w:t>
      </w:r>
    </w:p>
    <w:p>
      <w:pPr>
        <w:pStyle w:val="2"/>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1.电动康复床结合了起立床的治疗功能与护理床的舒适设计；</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2.具有电动背起床面体位调节，为护理开展提供便捷；</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3.产品采用大推力静音医用电机，承重大，起立过程平稳、安全；</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 ★具有国家医疗器械注册证。一键式床挡开启与闭合，操作简单，手控盒操控系统，为临床工作带来便捷；</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5.采用医用慢速推杆，起立速度缓慢更，适用于长期卧床患者；</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6.全钢架结构，安全稳定；</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7.★医用牛津布，抗菌性及透气性更强，配1个无需外接电源有自动记录功能的智能握力环（智能握力环必须提供国家标准的权威机构检测报告）；</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8.脚轮设计，快速锁定与开启，方便临床转移患者；</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9.电源电压：AC220V±22V ，频率:50Hz±1Hz；</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10．电动推杆最大推力：≥10000N；</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11.电动推杆数量：≥3个；</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12.★角度调节范围：</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起立角度范围：0°～82°</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背部床板可调角度：0°～67°</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床面升降范围：520～750mm；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13.绑带可移动，可拆卸床头、床尾架、床垫可拆；</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14.最大承重：≥170KG；</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15.重量：≤120KG；</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16.规格：</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外形尺寸：2050mm×920mm×940mm～2280mm (±5mm)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床面尺寸：1960×850mm  (±5mm)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17.脚踏板尺寸：500*460mm  (±5mm)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pStyle w:val="2"/>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中频电疗仪</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1、输出通道：4路输出通道，可同步或异步工作</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★2、处方数量：预设≥99个治疗处方。</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3、该机输出的由低频调制的中频电流，频率高、电阻小、作用深，疗效好。既有低频电的特征，又有中频电疗的治疗机理。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4、调制波形：具有正弦波、方波、尖波、三角波、锯齿波、指数波、等幅波</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★5、调制频率：低频调制频率范围：0～150Hz，中频载波范围：1kHz～10kHz；</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6、调节幅度：幅度为0%和100%。</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7、输出幅度：最大输出幅度为46V。</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8、脉冲宽度：最大脉冲宽度为460us；最小脉冲宽度为30us。</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9、输出限制：在500Ω负载下，输出电流不大于80mA（r.m.s）</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10、输出电流稳定度：不同负载下的输出电流变化率不大于10%</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11、输入功率：100VA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12、运行模式：连续运行</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13、电源： a.c.220V，50Hz</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★14、适应症范围需要包含偏瘫治疗。</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吞咽神经和肌肉电刺激仪</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▲1、入选国家中医药管理局“中医诊疗设备评估选型推荐品目（2011版第一批）”，提供国家中医局文件为准。</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2、适用范围：主要用于对咽部非机械原因损伤引起的吞咽及构音障碍进行评估、治疗及训练。</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3、主要构成：由主机、操作控制器及电极线组成。</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结构形式：挂壁、手提、台式三合一结构；按键方式：一键飞梭的操作方式，所有功能的调节仅需通过对一个键施以旋转及按压动作即可全部完成；治疗功能及输出路（线）数：同时具备评估、治疗及训练三种功能；治疗（成人、儿童）模式：2路（4线）；评估、训练模式：1路（2线）。</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5、显示方式：真彩液晶界面显示方式。</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6、开路电压峰值：≤150V</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7、定时范围：1-99min</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8、输入功率：≤175VA</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不少于四种输出模式：成人连续脉冲治疗模式、儿童交替脉冲治疗模式、单脉冲训练模式（训练模式有手控触发与自动触发）、评估模式。连续脉冲治疗模式（成人）：脉冲强度：0-30mA可调，不少于50档可调；脉冲宽度：100-300uS可调，步距增量20uS，不少于11档可调；脉冲间隔：100uS；脉冲频率：20Hz-100Hz可调。交替脉冲治疗模式（儿童）：脉冲强度：0-30mA可调，不少于50档可调；脉冲宽度：100-300uS可调，步距增量20uS，不少于11档可调；脉冲间隔：100uS；脉冲频率：20Hz-100Hz可调，持续时间：≥1s。</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单脉冲训练模式（手控触发与自动触发）：脉冲强度：0-30mA可调，不少于50档可调；脉冲宽度：10ms-1000ms可调，步距增量10ms、50ms；脉冲间隔：1s-5s可调，步距增量1s。评估模式：评估模式脉冲宽度：1000ms；评估模式脉冲间隔：1000ms；评估模式阈值I：0-30mA可调，步距增量0.12mA；评估模式阈值Ⅱ：0-30mA可调，步距增量0.12mA。</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11、CMD颁发的、针对本产品的ISO13485:2016和ISO9001:2015《质量管理体系认证证书》 。</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▲12、具有自主知识产权的软件著作权（包括：计算机软件著作权登记证书、软件产品登记证书）。</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13、入选省科技厅“2023年第一批入库科技型中小企业”，提供省科技厅文件。                                                                                                    ▲14、产品使用期限：≥10年。"</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病  床</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1、资质要求：</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▲1.产品需通过ISO14001环境管理体系认证、ISO45001职业健康安全管理体系认证；通过ISO9001、ISO13485质量管理体系认证。（提供各项资质认证文件）</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2、规格：长度≥2100㎜，宽度≥960㎜，床体标准高度≥500mm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3.1背板调节≥75°；</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3.2腿部调节≥35°；</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3.3四角刹车；</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4、材质要求：</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▲4.1床体骨架采用≥80*40*1.5mm的成型方管焊接而成，先进的焊接工艺，焊接质量优质，床体坚固;（为保证产品生产过程的牢固性需提供生产厂家1 台以上包含 1 台激光切割机设备的合同、发票。另需要提供投标生产厂家焊接机器人3台以上包含焊接机器人设备的合同、发票）</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4.2床面：采用≥1.0mm的冷轧钢板。冲压成凹型，多气孔设计，便于透气并具有防滑功能。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▲4.3床体采用优质抗菌粉末静电喷涂而成，具有环保、抗菌的作用。（为保证产品喷涂的牢固性需提供生产厂家1 套以上包含 1 套粉末喷涂设备的合同、发票。粉末SGS检验报告）</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 涂料对微生物大肠挨希氏菌和金黄色葡萄球菌均具有抗菌作用。（提供粉末抗菌性能检验报告）</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4.6床头、床尾板采用ABS工程塑料一次吹塑成型，挂式设计可拆卸方便，无缝制成，稳定可靠，拆卸方便，尾板外侧有病人信息卡插槽；</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▲4.8配置φ125静音脚轮，四角刹车，易于固定或推动床体。（为保证静音轮配件的耐久性需要生产厂家具备检验静音轮耐久性检验设备，需要提供生产厂家检验设备的发票、合同和实物照片）</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4.9护栏采用全覆式铝合金折叠护栏，采用加厚铝合金材质，经久耐用，不易变形，抗腐蚀，光滑美观易清洁。</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4.10四角带有输液架插孔以及引流挂钩， 可选配输液架。</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4.11摇杆传动升降系统，无塑料结构，耐磨、抗压、寿命长，加装双向到位无极限保护装置、增强使用寿命和安全性能。保证使用省力、摇动顺畅。"</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pStyle w:val="2"/>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吞咽神经肌肉低频电刺激</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1、电疗输出通道≥2路电刺激输出，每通道可独立设置治疗参数，可同时满足≥2名患者治疗。</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2、仪器最大输出电流有效值应不大于80mA，有效预防电灼伤，保障患者安全。</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3、脉冲频率范围20Hz～100Hz，适用于吞咽相关肌群兴奋收缩。</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4、采用微秒级脉宽，且脉宽在100μs~400μs范围可调，通过低脉宽的脉冲电流输入人体，有效刺激吞咽相关肌群收缩。</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5、具有脉冲上升/下降时间自定义功能，提供肌肉生理性收缩的适应阶段，避免电流突变，使治疗舒适安全。</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6、脉冲的通断时间分别可调，可调节输出与放松时间占比，预防肌肉疲劳，满足不同程度吞咽功能障碍患者需求。</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7、治疗结束后有声音提醒功能，治疗时间调节范围：1min ～99min。</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8、电刺激手柄供治疗师操作，可按治疗需求控制电流输出的持续时间，通过手柄上的按键掌控刺激时间。</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9、可适配4组固定式贴片电极，且具有电极放置图示，用于进行面颌部及颈部的经皮电刺激。</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pStyle w:val="2"/>
        <w:rPr>
          <w:rFonts w:hint="eastAsia" w:ascii="仿宋" w:hAnsi="仿宋" w:eastAsia="仿宋" w:cs="仿宋"/>
          <w:sz w:val="28"/>
          <w:szCs w:val="28"/>
          <w:lang w:val="en-US" w:eastAsia="zh-CN"/>
        </w:rPr>
      </w:pPr>
    </w:p>
    <w:p>
      <w:pPr>
        <w:jc w:val="center"/>
        <w:rPr>
          <w:rFonts w:hint="eastAsia" w:ascii="方正小标宋简体" w:hAnsi="方正小标宋简体" w:eastAsia="方正小标宋简体" w:cs="方正小标宋简体"/>
          <w:b/>
          <w:bCs/>
          <w:sz w:val="32"/>
          <w:szCs w:val="32"/>
          <w:lang w:val="en-US" w:eastAsia="zh-CN"/>
        </w:rPr>
      </w:pPr>
      <w:r>
        <w:rPr>
          <w:rFonts w:hint="eastAsia" w:ascii="方正小标宋简体" w:hAnsi="方正小标宋简体" w:eastAsia="方正小标宋简体" w:cs="方正小标宋简体"/>
          <w:b/>
          <w:bCs/>
          <w:sz w:val="32"/>
          <w:szCs w:val="32"/>
          <w:lang w:val="en-US" w:eastAsia="zh-CN"/>
        </w:rPr>
        <w:t>体外冲击波治疗仪</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 w:hAnsi="仿宋" w:eastAsia="仿宋" w:cs="仿宋"/>
          <w:sz w:val="28"/>
          <w:szCs w:val="28"/>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1.设备由主机、台车、空压机、治疗枪手柄（配治疗头）、电源线组成；</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2.彩色触摸屏幕，使用过程中随时调整治疗参数；</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3.提供 “从列表中选择适应症”、“通过身体部位选择适应症”和“自由编辑适应症”三种治疗路径；</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4.工作压力可设置为逐渐递增模式；</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★5.操作模式具有单次冲击模式和连续冲击模式，连续冲击模式时循环频率1-21Hz，治疗时连续可调；</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6.压力数值刻度精度：≤0.1bar；</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7.内置VAS痛觉评估系统；</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8.双通道输出，1路治疗输出，1路按摩输出；</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★9.提供便捷的脚踏控制开关，便于治疗师工作开展；</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10.采用超静音油压机；</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11.工作压力≥1.0～5.0 Bar，步进0.1 Bar；</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12.空压机最大输出压力：≤7.5bar；</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13.治疗枪手柄频率范围≥0.5～21Hz(1Hz以内步进0.1，1Hz以上步进1Hz)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14.冲击次数≥1～9900和无限制；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★15.治疗头≥6种：最大直径≥35mm，最小直径≤6mm能量稳定性:最大能量≥0.19J，稳定性优于±20%,最大能量密度≥6.06mJ/mm2, 误差≤20%；最大穿透深度≥22mm，误差≤20%；脉冲宽度≥5.5ms, 误差≤10%；</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16.额定功率≥800VA。</w:t>
      </w:r>
    </w:p>
    <w:sectPr>
      <w:pgSz w:w="11906" w:h="16838"/>
      <w:pgMar w:top="1440" w:right="1286"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ZWRlODUyMWU0YjIxZjIzNTY4NDNjNzc4NGZkZWYifQ=="/>
  </w:docVars>
  <w:rsids>
    <w:rsidRoot w:val="001372A9"/>
    <w:rsid w:val="00063AD1"/>
    <w:rsid w:val="000C0EE2"/>
    <w:rsid w:val="001372A9"/>
    <w:rsid w:val="004B3ED1"/>
    <w:rsid w:val="005656CE"/>
    <w:rsid w:val="006621DF"/>
    <w:rsid w:val="008A5815"/>
    <w:rsid w:val="00944AA7"/>
    <w:rsid w:val="00E33F0F"/>
    <w:rsid w:val="00F03C0F"/>
    <w:rsid w:val="024C6AA0"/>
    <w:rsid w:val="0CE65E4F"/>
    <w:rsid w:val="0EAA60E0"/>
    <w:rsid w:val="0EF1121D"/>
    <w:rsid w:val="186D2AD0"/>
    <w:rsid w:val="18D03DBD"/>
    <w:rsid w:val="1A5E5307"/>
    <w:rsid w:val="1B5767E5"/>
    <w:rsid w:val="1C204AFE"/>
    <w:rsid w:val="1CAC2742"/>
    <w:rsid w:val="229200EE"/>
    <w:rsid w:val="24400A52"/>
    <w:rsid w:val="26DA5DAF"/>
    <w:rsid w:val="2D1F7ACA"/>
    <w:rsid w:val="2F572D0F"/>
    <w:rsid w:val="349D2836"/>
    <w:rsid w:val="38D92FF2"/>
    <w:rsid w:val="3BD3519D"/>
    <w:rsid w:val="45136EB1"/>
    <w:rsid w:val="4811580B"/>
    <w:rsid w:val="534E268B"/>
    <w:rsid w:val="5728063B"/>
    <w:rsid w:val="5FFE34F3"/>
    <w:rsid w:val="60B33F45"/>
    <w:rsid w:val="6181291F"/>
    <w:rsid w:val="62C77DFB"/>
    <w:rsid w:val="6B4F3F91"/>
    <w:rsid w:val="6E070B53"/>
    <w:rsid w:val="6EBF5078"/>
    <w:rsid w:val="6FAA4DE4"/>
    <w:rsid w:val="735C0F53"/>
    <w:rsid w:val="77530A8D"/>
    <w:rsid w:val="7D3C5B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9"/>
    <w:pPr>
      <w:keepNext w:val="0"/>
      <w:keepLines w:val="0"/>
      <w:widowControl w:val="0"/>
      <w:spacing w:beforeLines="0" w:beforeAutospacing="0" w:afterLines="0" w:afterAutospacing="0" w:line="240" w:lineRule="auto"/>
      <w:jc w:val="center"/>
      <w:outlineLvl w:val="0"/>
    </w:pPr>
    <w:rPr>
      <w:rFonts w:ascii="黑体" w:hAnsi="黑体" w:eastAsia="黑体" w:cstheme="minorBidi"/>
      <w:kern w:val="0"/>
      <w:sz w:val="30"/>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5">
    <w:name w:val="Balloon Text"/>
    <w:basedOn w:val="1"/>
    <w:link w:val="13"/>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style>
  <w:style w:type="table" w:styleId="11">
    <w:name w:val="Table Grid"/>
    <w:basedOn w:val="10"/>
    <w:qFormat/>
    <w:uiPriority w:val="0"/>
    <w:rPr>
      <w:rFonts w:ascii="Calibri" w:hAnsi="Calibri" w:eastAsia="宋体" w:cs="黑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批注框文本 Char"/>
    <w:link w:val="5"/>
    <w:semiHidden/>
    <w:qFormat/>
    <w:uiPriority w:val="99"/>
    <w:rPr>
      <w:rFonts w:ascii="Times New Roman" w:hAnsi="Times New Roman" w:eastAsia="宋体" w:cs="Times New Roman"/>
      <w:sz w:val="18"/>
      <w:szCs w:val="18"/>
    </w:rPr>
  </w:style>
  <w:style w:type="character" w:customStyle="1" w:styleId="14">
    <w:name w:val="页脚 Char"/>
    <w:link w:val="6"/>
    <w:qFormat/>
    <w:uiPriority w:val="99"/>
    <w:rPr>
      <w:sz w:val="18"/>
      <w:szCs w:val="18"/>
    </w:rPr>
  </w:style>
  <w:style w:type="character" w:customStyle="1" w:styleId="15">
    <w:name w:val="页眉 Char"/>
    <w:link w:val="7"/>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651</Words>
  <Characters>703</Characters>
  <Lines>4</Lines>
  <Paragraphs>1</Paragraphs>
  <TotalTime>5</TotalTime>
  <ScaleCrop>false</ScaleCrop>
  <LinksUpToDate>false</LinksUpToDate>
  <CharactersWithSpaces>709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2013-07-17T07:27:00Z</dcterms:created>
  <dc:creator>Administrator</dc:creator>
  <cp:lastModifiedBy>开往春天的手扶式拖拉机</cp:lastModifiedBy>
  <cp:lastPrinted>2026-08-25T02:09:59Z</cp:lastPrinted>
  <dcterms:modified xsi:type="dcterms:W3CDTF">2026-08-25T02:14:23Z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8D21734D7EF9450CB15016C0ED382884_13</vt:lpwstr>
  </property>
  <property fmtid="{D5CDD505-2E9C-101B-9397-08002B2CF9AE}" pid="4" name="KSOTemplateDocerSaveRecord">
    <vt:lpwstr>eyJoZGlkIjoiZWYzMWEzMzM0YjdiMmUzMDhiZTk1MGMxZmI3YjBmYzUiLCJ1c2VySWQiOiI1OTI5NDIxMDYifQ==</vt:lpwstr>
  </property>
</Properties>
</file>