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keepNext w:val="0"/>
        <w:keepLines w:val="0"/>
        <w:pageBreakBefore w:val="0"/>
        <w:widowControl/>
        <w:kinsoku/>
        <w:wordWrap/>
        <w:overflowPunct/>
        <w:topLinePunct w:val="0"/>
        <w:autoSpaceDE/>
        <w:autoSpaceDN/>
        <w:bidi w:val="0"/>
        <w:adjustRightInd/>
        <w:snapToGrid/>
        <w:spacing w:line="380" w:lineRule="exact"/>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桂林市中西医结合</w:t>
      </w:r>
      <w:r>
        <w:rPr>
          <w:rFonts w:hint="eastAsia" w:ascii="方正小标宋简体" w:hAnsi="方正小标宋简体" w:eastAsia="方正小标宋简体" w:cs="方正小标宋简体"/>
          <w:sz w:val="36"/>
          <w:szCs w:val="36"/>
          <w:lang w:eastAsia="zh-CN"/>
        </w:rPr>
        <w:t>设备更新</w:t>
      </w:r>
      <w:r>
        <w:rPr>
          <w:rFonts w:hint="eastAsia" w:ascii="方正小标宋简体" w:hAnsi="方正小标宋简体" w:eastAsia="方正小标宋简体" w:cs="方正小标宋简体"/>
          <w:sz w:val="36"/>
          <w:szCs w:val="36"/>
        </w:rPr>
        <w:t>项目前期咨询服务采购公告</w:t>
      </w:r>
    </w:p>
    <w:p>
      <w:pPr>
        <w:pStyle w:val="12"/>
        <w:keepNext w:val="0"/>
        <w:keepLines w:val="0"/>
        <w:pageBreakBefore w:val="0"/>
        <w:kinsoku/>
        <w:wordWrap/>
        <w:overflowPunct/>
        <w:topLinePunct w:val="0"/>
        <w:autoSpaceDE/>
        <w:autoSpaceDN/>
        <w:bidi w:val="0"/>
        <w:adjustRightInd/>
        <w:snapToGrid/>
        <w:spacing w:line="26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i w:val="0"/>
          <w:color w:val="333333"/>
          <w:sz w:val="24"/>
          <w:szCs w:val="24"/>
        </w:rPr>
        <w:t>桂林市中西医结合医院</w:t>
      </w:r>
      <w:r>
        <w:rPr>
          <w:rFonts w:hint="eastAsia" w:ascii="仿宋" w:hAnsi="仿宋" w:eastAsia="仿宋" w:cs="仿宋"/>
          <w:color w:val="auto"/>
          <w:sz w:val="24"/>
          <w:szCs w:val="24"/>
          <w:highlight w:val="none"/>
        </w:rPr>
        <w:t>拟对</w:t>
      </w:r>
      <w:r>
        <w:rPr>
          <w:rFonts w:hint="eastAsia" w:ascii="仿宋" w:hAnsi="仿宋" w:eastAsia="仿宋" w:cs="仿宋"/>
          <w:sz w:val="24"/>
          <w:szCs w:val="24"/>
          <w:lang w:eastAsia="zh-CN"/>
        </w:rPr>
        <w:t>设备更新</w:t>
      </w:r>
      <w:r>
        <w:rPr>
          <w:rFonts w:hint="eastAsia" w:ascii="仿宋" w:hAnsi="仿宋" w:eastAsia="仿宋" w:cs="仿宋"/>
          <w:sz w:val="24"/>
          <w:szCs w:val="24"/>
        </w:rPr>
        <w:t>项目前期咨询服务</w:t>
      </w:r>
      <w:r>
        <w:rPr>
          <w:rFonts w:hint="eastAsia" w:ascii="仿宋" w:hAnsi="仿宋" w:eastAsia="仿宋" w:cs="仿宋"/>
          <w:i w:val="0"/>
          <w:color w:val="333333"/>
          <w:sz w:val="24"/>
          <w:szCs w:val="24"/>
        </w:rPr>
        <w:t>进行院内</w:t>
      </w:r>
      <w:r>
        <w:rPr>
          <w:rFonts w:hint="eastAsia" w:ascii="仿宋" w:hAnsi="仿宋" w:eastAsia="仿宋" w:cs="仿宋"/>
          <w:i w:val="0"/>
          <w:color w:val="333333"/>
          <w:sz w:val="24"/>
          <w:szCs w:val="24"/>
          <w:lang w:eastAsia="zh-CN"/>
        </w:rPr>
        <w:t>采购</w:t>
      </w:r>
      <w:r>
        <w:rPr>
          <w:rFonts w:hint="eastAsia" w:ascii="仿宋" w:hAnsi="仿宋" w:eastAsia="仿宋" w:cs="仿宋"/>
          <w:i w:val="0"/>
          <w:color w:val="333333"/>
          <w:sz w:val="24"/>
          <w:szCs w:val="24"/>
        </w:rPr>
        <w:t>评审。</w:t>
      </w:r>
      <w:r>
        <w:rPr>
          <w:rFonts w:hint="eastAsia" w:ascii="仿宋" w:hAnsi="仿宋" w:eastAsia="仿宋" w:cs="仿宋"/>
          <w:color w:val="auto"/>
          <w:sz w:val="24"/>
          <w:szCs w:val="24"/>
          <w:highlight w:val="none"/>
        </w:rPr>
        <w:t>欢迎符合条件的供应商前来参加，现将有关事项公告如下：</w:t>
      </w:r>
    </w:p>
    <w:p>
      <w:pPr>
        <w:pStyle w:val="12"/>
        <w:keepNext w:val="0"/>
        <w:keepLines w:val="0"/>
        <w:pageBreakBefore w:val="0"/>
        <w:numPr>
          <w:ilvl w:val="0"/>
          <w:numId w:val="1"/>
        </w:numPr>
        <w:kinsoku/>
        <w:wordWrap/>
        <w:overflowPunct/>
        <w:topLinePunct w:val="0"/>
        <w:autoSpaceDE/>
        <w:autoSpaceDN/>
        <w:bidi w:val="0"/>
        <w:adjustRightInd/>
        <w:snapToGrid/>
        <w:spacing w:line="260" w:lineRule="exact"/>
        <w:ind w:left="0" w:leftChars="0" w:firstLine="482" w:firstLineChars="200"/>
        <w:textAlignment w:val="auto"/>
        <w:rPr>
          <w:rFonts w:hint="eastAsia" w:ascii="仿宋" w:hAnsi="仿宋" w:eastAsia="仿宋" w:cs="仿宋"/>
          <w:b/>
          <w:color w:val="auto"/>
          <w:sz w:val="24"/>
          <w:szCs w:val="24"/>
          <w:highlight w:val="none"/>
        </w:rPr>
      </w:pPr>
      <w:r>
        <w:rPr>
          <w:rStyle w:val="26"/>
          <w:rFonts w:hint="eastAsia" w:ascii="仿宋" w:hAnsi="仿宋" w:eastAsia="仿宋" w:cs="仿宋"/>
          <w:sz w:val="24"/>
          <w:szCs w:val="24"/>
        </w:rPr>
        <w:t>项目名称：</w:t>
      </w:r>
      <w:r>
        <w:rPr>
          <w:rFonts w:hint="eastAsia" w:ascii="仿宋" w:hAnsi="仿宋" w:eastAsia="仿宋" w:cs="仿宋"/>
          <w:i w:val="0"/>
          <w:color w:val="333333"/>
          <w:sz w:val="24"/>
          <w:szCs w:val="24"/>
        </w:rPr>
        <w:t>桂林市中西医结合医院</w:t>
      </w:r>
      <w:r>
        <w:rPr>
          <w:rFonts w:hint="eastAsia" w:ascii="仿宋" w:hAnsi="仿宋" w:eastAsia="仿宋" w:cs="仿宋"/>
          <w:i w:val="0"/>
          <w:color w:val="333333"/>
          <w:sz w:val="24"/>
          <w:szCs w:val="24"/>
          <w:lang w:eastAsia="zh-CN"/>
        </w:rPr>
        <w:t>设备更新</w:t>
      </w:r>
      <w:r>
        <w:rPr>
          <w:rFonts w:hint="eastAsia" w:ascii="仿宋" w:hAnsi="仿宋" w:eastAsia="仿宋" w:cs="仿宋"/>
          <w:i w:val="0"/>
          <w:color w:val="333333"/>
          <w:sz w:val="24"/>
          <w:szCs w:val="24"/>
        </w:rPr>
        <w:t>项目前期咨询服务</w:t>
      </w:r>
    </w:p>
    <w:p>
      <w:pPr>
        <w:pStyle w:val="12"/>
        <w:keepNext w:val="0"/>
        <w:keepLines w:val="0"/>
        <w:pageBreakBefore w:val="0"/>
        <w:numPr>
          <w:ilvl w:val="0"/>
          <w:numId w:val="1"/>
        </w:numPr>
        <w:kinsoku/>
        <w:wordWrap/>
        <w:overflowPunct/>
        <w:topLinePunct w:val="0"/>
        <w:autoSpaceDE/>
        <w:autoSpaceDN/>
        <w:bidi w:val="0"/>
        <w:adjustRightInd/>
        <w:snapToGrid/>
        <w:spacing w:line="260" w:lineRule="exact"/>
        <w:ind w:left="0" w:leftChars="0" w:firstLine="482" w:firstLineChars="200"/>
        <w:textAlignment w:val="auto"/>
        <w:rPr>
          <w:rFonts w:hint="eastAsia" w:ascii="仿宋" w:hAnsi="仿宋" w:eastAsia="仿宋" w:cs="仿宋"/>
          <w:b/>
          <w:color w:val="auto"/>
          <w:sz w:val="24"/>
          <w:szCs w:val="24"/>
          <w:highlight w:val="none"/>
        </w:rPr>
      </w:pPr>
      <w:r>
        <w:rPr>
          <w:rStyle w:val="26"/>
          <w:rFonts w:hint="eastAsia" w:ascii="仿宋" w:hAnsi="仿宋" w:eastAsia="仿宋" w:cs="仿宋"/>
          <w:sz w:val="24"/>
          <w:szCs w:val="24"/>
        </w:rPr>
        <w:t>采购内容：</w:t>
      </w:r>
      <w:r>
        <w:rPr>
          <w:rFonts w:hint="eastAsia" w:ascii="仿宋" w:hAnsi="仿宋" w:eastAsia="仿宋" w:cs="仿宋"/>
          <w:i w:val="0"/>
          <w:color w:val="333333"/>
          <w:sz w:val="24"/>
          <w:szCs w:val="24"/>
        </w:rPr>
        <w:t>桂林市中西医结合医院设备更新项目</w:t>
      </w:r>
      <w:r>
        <w:rPr>
          <w:rFonts w:hint="eastAsia" w:ascii="仿宋" w:hAnsi="仿宋" w:eastAsia="仿宋" w:cs="仿宋"/>
          <w:color w:val="auto"/>
          <w:sz w:val="24"/>
          <w:szCs w:val="24"/>
          <w:highlight w:val="none"/>
        </w:rPr>
        <w:t>前期咨询服务，供应商为本项目提供前期咨询服务，本项目前期咨询服务内容具体包括：提级论证报告编制、事前绩效评估编制、可行性研究报告编制、可研报告评审等前期咨询所有内容。</w:t>
      </w:r>
    </w:p>
    <w:p>
      <w:pPr>
        <w:pStyle w:val="12"/>
        <w:keepNext w:val="0"/>
        <w:keepLines w:val="0"/>
        <w:pageBreakBefore w:val="0"/>
        <w:numPr>
          <w:ilvl w:val="0"/>
          <w:numId w:val="1"/>
        </w:numPr>
        <w:kinsoku/>
        <w:wordWrap/>
        <w:overflowPunct/>
        <w:topLinePunct w:val="0"/>
        <w:autoSpaceDE/>
        <w:autoSpaceDN/>
        <w:bidi w:val="0"/>
        <w:adjustRightInd/>
        <w:snapToGrid/>
        <w:spacing w:line="260" w:lineRule="exact"/>
        <w:ind w:left="0" w:leftChars="0" w:firstLine="482" w:firstLineChars="200"/>
        <w:textAlignment w:val="auto"/>
        <w:rPr>
          <w:rFonts w:hint="eastAsia" w:ascii="仿宋" w:hAnsi="仿宋" w:eastAsia="仿宋" w:cs="仿宋"/>
          <w:color w:val="auto"/>
          <w:sz w:val="24"/>
          <w:szCs w:val="24"/>
          <w:highlight w:val="none"/>
        </w:rPr>
      </w:pPr>
      <w:r>
        <w:rPr>
          <w:rStyle w:val="26"/>
          <w:rFonts w:hint="eastAsia" w:ascii="仿宋" w:hAnsi="仿宋" w:eastAsia="仿宋" w:cs="仿宋"/>
          <w:sz w:val="24"/>
          <w:szCs w:val="24"/>
        </w:rPr>
        <w:t>采购预算</w:t>
      </w:r>
      <w:r>
        <w:rPr>
          <w:rStyle w:val="26"/>
          <w:rFonts w:hint="eastAsia" w:ascii="仿宋" w:hAnsi="仿宋" w:eastAsia="仿宋" w:cs="仿宋"/>
          <w:sz w:val="24"/>
          <w:szCs w:val="24"/>
          <w:lang w:eastAsia="zh-CN"/>
        </w:rPr>
        <w:t>控制</w:t>
      </w:r>
      <w:r>
        <w:rPr>
          <w:rStyle w:val="26"/>
          <w:rFonts w:hint="eastAsia" w:ascii="仿宋" w:hAnsi="仿宋" w:eastAsia="仿宋" w:cs="仿宋"/>
          <w:sz w:val="24"/>
          <w:szCs w:val="24"/>
        </w:rPr>
        <w:t>金额</w:t>
      </w:r>
      <w:r>
        <w:rPr>
          <w:rStyle w:val="26"/>
          <w:rFonts w:hint="eastAsia" w:ascii="仿宋" w:hAnsi="仿宋" w:eastAsia="仿宋" w:cs="仿宋"/>
          <w:sz w:val="24"/>
          <w:szCs w:val="24"/>
          <w:lang w:eastAsia="zh-CN"/>
        </w:rPr>
        <w:t>：</w:t>
      </w:r>
      <w:r>
        <w:rPr>
          <w:rFonts w:hint="eastAsia" w:ascii="仿宋" w:hAnsi="仿宋" w:eastAsia="仿宋" w:cs="仿宋"/>
          <w:color w:val="auto"/>
          <w:sz w:val="24"/>
          <w:szCs w:val="24"/>
          <w:highlight w:val="none"/>
          <w:lang w:eastAsia="zh-CN"/>
        </w:rPr>
        <w:t>陆万叁仟元整（¥</w:t>
      </w:r>
      <w:r>
        <w:rPr>
          <w:rFonts w:hint="eastAsia" w:ascii="仿宋" w:hAnsi="仿宋" w:eastAsia="仿宋" w:cs="仿宋"/>
          <w:color w:val="auto"/>
          <w:sz w:val="24"/>
          <w:szCs w:val="24"/>
          <w:highlight w:val="none"/>
          <w:lang w:val="en-US" w:eastAsia="zh-CN"/>
        </w:rPr>
        <w:t>63000</w:t>
      </w:r>
      <w:r>
        <w:rPr>
          <w:rFonts w:hint="eastAsia" w:ascii="仿宋" w:hAnsi="仿宋" w:eastAsia="仿宋" w:cs="仿宋"/>
          <w:color w:val="auto"/>
          <w:sz w:val="24"/>
          <w:szCs w:val="24"/>
          <w:highlight w:val="none"/>
          <w:lang w:eastAsia="zh-CN"/>
        </w:rPr>
        <w:t>.00），</w:t>
      </w:r>
      <w:r>
        <w:rPr>
          <w:rFonts w:hint="eastAsia" w:ascii="仿宋" w:hAnsi="仿宋" w:eastAsia="仿宋" w:cs="仿宋"/>
          <w:color w:val="auto"/>
          <w:sz w:val="24"/>
          <w:szCs w:val="24"/>
          <w:highlight w:val="none"/>
        </w:rPr>
        <w:t>报价不得超过预算控制价。</w:t>
      </w:r>
    </w:p>
    <w:p>
      <w:pPr>
        <w:pStyle w:val="12"/>
        <w:keepNext w:val="0"/>
        <w:keepLines w:val="0"/>
        <w:pageBreakBefore w:val="0"/>
        <w:numPr>
          <w:ilvl w:val="0"/>
          <w:numId w:val="1"/>
        </w:numPr>
        <w:kinsoku/>
        <w:wordWrap/>
        <w:overflowPunct/>
        <w:topLinePunct w:val="0"/>
        <w:autoSpaceDE/>
        <w:autoSpaceDN/>
        <w:bidi w:val="0"/>
        <w:adjustRightInd/>
        <w:snapToGrid/>
        <w:spacing w:line="260" w:lineRule="exact"/>
        <w:ind w:left="0" w:leftChars="0" w:firstLine="482" w:firstLineChars="200"/>
        <w:textAlignment w:val="auto"/>
        <w:rPr>
          <w:rFonts w:hint="eastAsia" w:ascii="仿宋" w:hAnsi="仿宋" w:eastAsia="仿宋" w:cs="仿宋"/>
          <w:b/>
          <w:color w:val="auto"/>
          <w:sz w:val="24"/>
          <w:szCs w:val="24"/>
          <w:highlight w:val="none"/>
        </w:rPr>
      </w:pPr>
      <w:r>
        <w:rPr>
          <w:rStyle w:val="26"/>
          <w:rFonts w:hint="eastAsia" w:ascii="仿宋" w:hAnsi="仿宋" w:eastAsia="仿宋" w:cs="仿宋"/>
          <w:sz w:val="24"/>
          <w:szCs w:val="24"/>
        </w:rPr>
        <w:t>供应商的资格要求：</w:t>
      </w:r>
    </w:p>
    <w:p>
      <w:pPr>
        <w:pStyle w:val="12"/>
        <w:keepNext w:val="0"/>
        <w:keepLines w:val="0"/>
        <w:pageBreakBefore w:val="0"/>
        <w:numPr>
          <w:ilvl w:val="0"/>
          <w:numId w:val="0"/>
        </w:numPr>
        <w:tabs>
          <w:tab w:val="left" w:pos="780"/>
        </w:tabs>
        <w:kinsoku/>
        <w:wordWrap/>
        <w:overflowPunct/>
        <w:topLinePunct w:val="0"/>
        <w:autoSpaceDE/>
        <w:autoSpaceDN/>
        <w:bidi w:val="0"/>
        <w:adjustRightInd/>
        <w:snapToGrid/>
        <w:spacing w:line="260" w:lineRule="exact"/>
        <w:ind w:firstLine="480" w:firstLineChars="200"/>
        <w:textAlignment w:val="auto"/>
        <w:rPr>
          <w:rFonts w:hint="eastAsia" w:ascii="仿宋" w:hAnsi="仿宋" w:eastAsia="仿宋" w:cs="仿宋"/>
          <w:b w:val="0"/>
          <w:color w:val="auto"/>
          <w:sz w:val="24"/>
          <w:szCs w:val="24"/>
          <w:highlight w:val="none"/>
        </w:rPr>
      </w:pPr>
      <w:bookmarkStart w:id="0" w:name="OLE_LINK11"/>
      <w:bookmarkStart w:id="1" w:name="OLE_LINK7"/>
      <w:r>
        <w:rPr>
          <w:rFonts w:hint="eastAsia" w:ascii="仿宋" w:hAnsi="仿宋" w:eastAsia="仿宋" w:cs="仿宋"/>
          <w:i w:val="0"/>
          <w:color w:val="333333"/>
          <w:sz w:val="24"/>
          <w:szCs w:val="24"/>
          <w:lang w:val="en-US" w:eastAsia="zh-CN"/>
        </w:rPr>
        <w:t>1.</w:t>
      </w:r>
      <w:r>
        <w:rPr>
          <w:rFonts w:hint="eastAsia" w:ascii="仿宋" w:hAnsi="仿宋" w:eastAsia="仿宋" w:cs="仿宋"/>
          <w:i w:val="0"/>
          <w:color w:val="333333"/>
          <w:sz w:val="24"/>
          <w:szCs w:val="24"/>
        </w:rPr>
        <w:t>满足《中华人民共和国政府采购法》第二十二条规定</w:t>
      </w:r>
      <w:r>
        <w:rPr>
          <w:rFonts w:hint="eastAsia" w:ascii="仿宋" w:hAnsi="仿宋" w:eastAsia="仿宋" w:cs="仿宋"/>
          <w:i w:val="0"/>
          <w:color w:val="333333"/>
          <w:sz w:val="24"/>
          <w:szCs w:val="24"/>
          <w:lang w:eastAsia="zh-CN"/>
        </w:rPr>
        <w:t>；</w:t>
      </w:r>
    </w:p>
    <w:p>
      <w:pPr>
        <w:pStyle w:val="12"/>
        <w:keepNext w:val="0"/>
        <w:keepLines w:val="0"/>
        <w:pageBreakBefore w:val="0"/>
        <w:numPr>
          <w:ilvl w:val="0"/>
          <w:numId w:val="0"/>
        </w:numPr>
        <w:tabs>
          <w:tab w:val="left" w:pos="780"/>
        </w:tabs>
        <w:kinsoku/>
        <w:wordWrap/>
        <w:overflowPunct/>
        <w:topLinePunct w:val="0"/>
        <w:autoSpaceDE/>
        <w:autoSpaceDN/>
        <w:bidi w:val="0"/>
        <w:adjustRightInd/>
        <w:snapToGrid/>
        <w:spacing w:line="260" w:lineRule="exact"/>
        <w:ind w:firstLine="480" w:firstLineChars="200"/>
        <w:textAlignment w:val="auto"/>
        <w:rPr>
          <w:rFonts w:hint="eastAsia" w:ascii="仿宋" w:hAnsi="仿宋" w:eastAsia="仿宋" w:cs="仿宋"/>
          <w:b w:val="0"/>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国内注册的【依法在市场监督管理部门（或行政审批部门）登记注册】，具备合法资格的供应商；</w:t>
      </w:r>
    </w:p>
    <w:p>
      <w:pPr>
        <w:pStyle w:val="12"/>
        <w:keepNext w:val="0"/>
        <w:keepLines w:val="0"/>
        <w:pageBreakBefore w:val="0"/>
        <w:numPr>
          <w:ilvl w:val="0"/>
          <w:numId w:val="0"/>
        </w:numPr>
        <w:tabs>
          <w:tab w:val="left" w:pos="780"/>
        </w:tabs>
        <w:kinsoku/>
        <w:wordWrap/>
        <w:overflowPunct/>
        <w:topLinePunct w:val="0"/>
        <w:autoSpaceDE/>
        <w:autoSpaceDN/>
        <w:bidi w:val="0"/>
        <w:adjustRightInd/>
        <w:snapToGrid/>
        <w:spacing w:line="260" w:lineRule="exact"/>
        <w:ind w:firstLine="480" w:firstLineChars="200"/>
        <w:textAlignment w:val="auto"/>
        <w:rPr>
          <w:rFonts w:hint="eastAsia" w:ascii="仿宋" w:hAnsi="仿宋" w:eastAsia="仿宋" w:cs="仿宋"/>
          <w:b w:val="0"/>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供应商须在全国投资项目在线审批监管平台取得工程咨询单位备案；</w:t>
      </w:r>
    </w:p>
    <w:p>
      <w:pPr>
        <w:pStyle w:val="12"/>
        <w:keepNext w:val="0"/>
        <w:keepLines w:val="0"/>
        <w:pageBreakBefore w:val="0"/>
        <w:numPr>
          <w:ilvl w:val="0"/>
          <w:numId w:val="0"/>
        </w:numPr>
        <w:tabs>
          <w:tab w:val="left" w:pos="780"/>
        </w:tabs>
        <w:kinsoku/>
        <w:wordWrap/>
        <w:overflowPunct/>
        <w:topLinePunct w:val="0"/>
        <w:autoSpaceDE/>
        <w:autoSpaceDN/>
        <w:bidi w:val="0"/>
        <w:adjustRightInd/>
        <w:snapToGrid/>
        <w:spacing w:line="260" w:lineRule="exact"/>
        <w:ind w:firstLine="480" w:firstLineChars="200"/>
        <w:textAlignment w:val="auto"/>
        <w:rPr>
          <w:rFonts w:hint="eastAsia" w:ascii="仿宋" w:hAnsi="仿宋" w:eastAsia="仿宋" w:cs="仿宋"/>
          <w:b w:val="0"/>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单位负责人为同一人或者存在直接控股、管理关系的不同供应商，不得参加同一合同项下的采购活动；</w:t>
      </w:r>
    </w:p>
    <w:p>
      <w:pPr>
        <w:pStyle w:val="12"/>
        <w:keepNext w:val="0"/>
        <w:keepLines w:val="0"/>
        <w:pageBreakBefore w:val="0"/>
        <w:numPr>
          <w:ilvl w:val="0"/>
          <w:numId w:val="0"/>
        </w:numPr>
        <w:tabs>
          <w:tab w:val="left" w:pos="780"/>
        </w:tabs>
        <w:kinsoku/>
        <w:wordWrap/>
        <w:overflowPunct/>
        <w:topLinePunct w:val="0"/>
        <w:autoSpaceDE/>
        <w:autoSpaceDN/>
        <w:bidi w:val="0"/>
        <w:adjustRightInd/>
        <w:snapToGrid/>
        <w:spacing w:line="260" w:lineRule="exact"/>
        <w:ind w:firstLine="480" w:firstLineChars="200"/>
        <w:textAlignment w:val="auto"/>
        <w:rPr>
          <w:rFonts w:hint="eastAsia" w:ascii="仿宋" w:hAnsi="仿宋" w:eastAsia="仿宋" w:cs="仿宋"/>
          <w:b w:val="0"/>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供应商在参加本采购活动前三年内在经营活动中没有重大违法记录；</w:t>
      </w:r>
    </w:p>
    <w:p>
      <w:pPr>
        <w:pStyle w:val="12"/>
        <w:keepNext w:val="0"/>
        <w:keepLines w:val="0"/>
        <w:pageBreakBefore w:val="0"/>
        <w:numPr>
          <w:ilvl w:val="0"/>
          <w:numId w:val="0"/>
        </w:numPr>
        <w:tabs>
          <w:tab w:val="left" w:pos="780"/>
        </w:tabs>
        <w:kinsoku/>
        <w:wordWrap/>
        <w:overflowPunct/>
        <w:topLinePunct w:val="0"/>
        <w:autoSpaceDE/>
        <w:autoSpaceDN/>
        <w:bidi w:val="0"/>
        <w:adjustRightInd/>
        <w:snapToGrid/>
        <w:spacing w:line="260" w:lineRule="exact"/>
        <w:ind w:firstLine="480" w:firstLineChars="200"/>
        <w:textAlignment w:val="auto"/>
        <w:rPr>
          <w:rFonts w:hint="eastAsia" w:ascii="仿宋" w:hAnsi="仿宋" w:eastAsia="仿宋" w:cs="仿宋"/>
          <w:b w:val="0"/>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对在“信用中国”网站（www.creditchina.gov.cn）、</w:t>
      </w:r>
      <w:r>
        <w:rPr>
          <w:rFonts w:hint="eastAsia" w:ascii="仿宋" w:hAnsi="仿宋" w:eastAsia="仿宋" w:cs="仿宋"/>
          <w:i w:val="0"/>
          <w:color w:val="auto"/>
          <w:sz w:val="24"/>
          <w:szCs w:val="24"/>
        </w:rPr>
        <w:t>中国政府采购网(www.ccgp.gov.cn)等</w:t>
      </w:r>
      <w:r>
        <w:rPr>
          <w:rFonts w:hint="eastAsia" w:ascii="仿宋" w:hAnsi="仿宋" w:eastAsia="仿宋" w:cs="仿宋"/>
          <w:color w:val="auto"/>
          <w:sz w:val="24"/>
          <w:szCs w:val="24"/>
          <w:highlight w:val="none"/>
        </w:rPr>
        <w:t>渠道列入失信被执行人、重大税收违法失信主体、采购严重违法失信行为记录名单的供应商，不得参与本采购活动；</w:t>
      </w:r>
    </w:p>
    <w:bookmarkEnd w:id="0"/>
    <w:p>
      <w:pPr>
        <w:pStyle w:val="12"/>
        <w:keepNext w:val="0"/>
        <w:keepLines w:val="0"/>
        <w:pageBreakBefore w:val="0"/>
        <w:numPr>
          <w:ilvl w:val="0"/>
          <w:numId w:val="0"/>
        </w:numPr>
        <w:tabs>
          <w:tab w:val="left" w:pos="780"/>
        </w:tabs>
        <w:kinsoku/>
        <w:wordWrap/>
        <w:overflowPunct/>
        <w:topLinePunct w:val="0"/>
        <w:autoSpaceDE/>
        <w:autoSpaceDN/>
        <w:bidi w:val="0"/>
        <w:adjustRightInd/>
        <w:snapToGrid/>
        <w:spacing w:line="260" w:lineRule="exact"/>
        <w:ind w:leftChars="200"/>
        <w:textAlignment w:val="auto"/>
        <w:rPr>
          <w:rFonts w:hint="eastAsia" w:ascii="仿宋" w:hAnsi="仿宋" w:eastAsia="仿宋" w:cs="仿宋"/>
          <w:b w:val="0"/>
          <w:color w:val="333333"/>
          <w:sz w:val="24"/>
          <w:szCs w:val="24"/>
          <w:highlight w:val="none"/>
        </w:rPr>
      </w:pPr>
      <w:r>
        <w:rPr>
          <w:rFonts w:hint="eastAsia" w:ascii="仿宋" w:hAnsi="仿宋" w:eastAsia="仿宋" w:cs="仿宋"/>
          <w:i w:val="0"/>
          <w:color w:val="333333"/>
          <w:sz w:val="24"/>
          <w:szCs w:val="24"/>
          <w:lang w:val="en-US" w:eastAsia="zh-CN"/>
        </w:rPr>
        <w:t>7.</w:t>
      </w:r>
      <w:r>
        <w:rPr>
          <w:rFonts w:hint="eastAsia" w:ascii="仿宋" w:hAnsi="仿宋" w:eastAsia="仿宋" w:cs="仿宋"/>
          <w:i w:val="0"/>
          <w:color w:val="333333"/>
          <w:sz w:val="24"/>
          <w:szCs w:val="24"/>
        </w:rPr>
        <w:t>本项目未经采购人许可不得转包、分包</w:t>
      </w:r>
      <w:r>
        <w:rPr>
          <w:rFonts w:hint="eastAsia" w:ascii="仿宋" w:hAnsi="仿宋" w:eastAsia="仿宋" w:cs="仿宋"/>
          <w:i w:val="0"/>
          <w:color w:val="333333"/>
          <w:sz w:val="24"/>
          <w:szCs w:val="24"/>
          <w:lang w:eastAsia="zh-CN"/>
        </w:rPr>
        <w:t>；</w:t>
      </w:r>
    </w:p>
    <w:bookmarkEnd w:id="1"/>
    <w:p>
      <w:pPr>
        <w:pStyle w:val="12"/>
        <w:keepNext w:val="0"/>
        <w:keepLines w:val="0"/>
        <w:pageBreakBefore w:val="0"/>
        <w:numPr>
          <w:ilvl w:val="0"/>
          <w:numId w:val="0"/>
        </w:numPr>
        <w:tabs>
          <w:tab w:val="left" w:pos="780"/>
        </w:tabs>
        <w:kinsoku/>
        <w:wordWrap/>
        <w:overflowPunct/>
        <w:topLinePunct w:val="0"/>
        <w:autoSpaceDE/>
        <w:autoSpaceDN/>
        <w:bidi w:val="0"/>
        <w:adjustRightInd/>
        <w:snapToGrid/>
        <w:spacing w:line="260" w:lineRule="exact"/>
        <w:ind w:leftChars="200"/>
        <w:textAlignment w:val="auto"/>
        <w:rPr>
          <w:rFonts w:hint="eastAsia" w:ascii="仿宋" w:hAnsi="仿宋" w:eastAsia="仿宋" w:cs="仿宋"/>
          <w:b w:val="0"/>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本项目不接受联合体参与评审。</w:t>
      </w:r>
    </w:p>
    <w:p>
      <w:pPr>
        <w:pStyle w:val="12"/>
        <w:keepNext w:val="0"/>
        <w:keepLines w:val="0"/>
        <w:pageBreakBefore w:val="0"/>
        <w:widowControl/>
        <w:numPr>
          <w:ilvl w:val="0"/>
          <w:numId w:val="1"/>
        </w:numPr>
        <w:pBdr>
          <w:top w:val="none" w:color="auto" w:sz="0" w:space="0"/>
          <w:left w:val="none" w:color="auto" w:sz="0" w:space="0"/>
          <w:bottom w:val="none" w:color="auto" w:sz="0" w:space="0"/>
          <w:right w:val="none" w:color="auto" w:sz="0" w:space="0"/>
        </w:pBdr>
        <w:tabs>
          <w:tab w:val="left" w:pos="963"/>
        </w:tabs>
        <w:kinsoku/>
        <w:wordWrap/>
        <w:overflowPunct/>
        <w:topLinePunct w:val="0"/>
        <w:autoSpaceDE/>
        <w:autoSpaceDN/>
        <w:bidi w:val="0"/>
        <w:adjustRightInd/>
        <w:snapToGrid/>
        <w:spacing w:line="260" w:lineRule="exact"/>
        <w:ind w:left="0" w:leftChars="0" w:firstLine="482" w:firstLineChars="200"/>
        <w:textAlignment w:val="auto"/>
        <w:rPr>
          <w:rFonts w:hint="eastAsia" w:ascii="仿宋" w:hAnsi="仿宋" w:eastAsia="仿宋" w:cs="仿宋"/>
          <w:b/>
          <w:i w:val="0"/>
          <w:color w:val="333333"/>
          <w:sz w:val="24"/>
          <w:szCs w:val="24"/>
        </w:rPr>
      </w:pPr>
      <w:r>
        <w:rPr>
          <w:rFonts w:hint="eastAsia" w:ascii="仿宋" w:hAnsi="仿宋" w:eastAsia="仿宋" w:cs="仿宋"/>
          <w:b/>
          <w:i w:val="0"/>
          <w:color w:val="333333"/>
          <w:sz w:val="24"/>
          <w:szCs w:val="24"/>
        </w:rPr>
        <w:t>报名信息</w:t>
      </w:r>
    </w:p>
    <w:p>
      <w:pPr>
        <w:pStyle w:val="12"/>
        <w:keepNext w:val="0"/>
        <w:keepLines w:val="0"/>
        <w:pageBreakBefore w:val="0"/>
        <w:widowControl/>
        <w:numPr>
          <w:ilvl w:val="0"/>
          <w:numId w:val="2"/>
        </w:numPr>
        <w:pBdr>
          <w:top w:val="none" w:color="auto" w:sz="0" w:space="0"/>
          <w:left w:val="none" w:color="auto" w:sz="0" w:space="0"/>
          <w:bottom w:val="none" w:color="auto" w:sz="0" w:space="0"/>
          <w:right w:val="none" w:color="auto" w:sz="0" w:space="0"/>
        </w:pBdr>
        <w:tabs>
          <w:tab w:val="left" w:pos="1200"/>
        </w:tabs>
        <w:kinsoku/>
        <w:wordWrap/>
        <w:overflowPunct/>
        <w:topLinePunct w:val="0"/>
        <w:autoSpaceDE/>
        <w:autoSpaceDN/>
        <w:bidi w:val="0"/>
        <w:adjustRightInd/>
        <w:snapToGrid/>
        <w:spacing w:line="260" w:lineRule="exact"/>
        <w:ind w:left="0" w:leftChars="0" w:firstLine="480" w:firstLineChars="200"/>
        <w:textAlignment w:val="auto"/>
        <w:rPr>
          <w:rFonts w:hint="eastAsia" w:ascii="仿宋" w:hAnsi="仿宋" w:eastAsia="仿宋" w:cs="仿宋"/>
          <w:b w:val="0"/>
          <w:i w:val="0"/>
          <w:color w:val="333333"/>
          <w:sz w:val="24"/>
          <w:szCs w:val="24"/>
        </w:rPr>
      </w:pPr>
      <w:r>
        <w:rPr>
          <w:rFonts w:hint="eastAsia" w:ascii="仿宋" w:hAnsi="仿宋" w:eastAsia="仿宋" w:cs="仿宋"/>
          <w:i w:val="0"/>
          <w:color w:val="333333"/>
          <w:sz w:val="24"/>
          <w:szCs w:val="24"/>
        </w:rPr>
        <w:t>现场报名时间：2026年</w:t>
      </w:r>
      <w:r>
        <w:rPr>
          <w:rFonts w:hint="eastAsia" w:ascii="仿宋" w:hAnsi="仿宋" w:eastAsia="仿宋" w:cs="仿宋"/>
          <w:i w:val="0"/>
          <w:color w:val="333333"/>
          <w:sz w:val="24"/>
          <w:szCs w:val="24"/>
          <w:lang w:val="en-US" w:eastAsia="zh-CN"/>
        </w:rPr>
        <w:t>8</w:t>
      </w:r>
      <w:r>
        <w:rPr>
          <w:rFonts w:hint="eastAsia" w:ascii="仿宋" w:hAnsi="仿宋" w:eastAsia="仿宋" w:cs="仿宋"/>
          <w:i w:val="0"/>
          <w:color w:val="333333"/>
          <w:sz w:val="24"/>
          <w:szCs w:val="24"/>
        </w:rPr>
        <w:t>月</w:t>
      </w:r>
      <w:r>
        <w:rPr>
          <w:rFonts w:hint="eastAsia" w:ascii="仿宋" w:hAnsi="仿宋" w:eastAsia="仿宋" w:cs="仿宋"/>
          <w:i w:val="0"/>
          <w:color w:val="333333"/>
          <w:sz w:val="24"/>
          <w:szCs w:val="24"/>
          <w:lang w:val="en-US" w:eastAsia="zh-CN"/>
        </w:rPr>
        <w:t>18</w:t>
      </w:r>
      <w:r>
        <w:rPr>
          <w:rFonts w:hint="eastAsia" w:ascii="仿宋" w:hAnsi="仿宋" w:eastAsia="仿宋" w:cs="仿宋"/>
          <w:i w:val="0"/>
          <w:color w:val="333333"/>
          <w:sz w:val="24"/>
          <w:szCs w:val="24"/>
        </w:rPr>
        <w:t>日至2026年</w:t>
      </w:r>
      <w:r>
        <w:rPr>
          <w:rFonts w:hint="eastAsia" w:ascii="仿宋" w:hAnsi="仿宋" w:eastAsia="仿宋" w:cs="仿宋"/>
          <w:i w:val="0"/>
          <w:color w:val="333333"/>
          <w:sz w:val="24"/>
          <w:szCs w:val="24"/>
          <w:lang w:val="en-US" w:eastAsia="zh-CN"/>
        </w:rPr>
        <w:t>8</w:t>
      </w:r>
      <w:r>
        <w:rPr>
          <w:rFonts w:hint="eastAsia" w:ascii="仿宋" w:hAnsi="仿宋" w:eastAsia="仿宋" w:cs="仿宋"/>
          <w:i w:val="0"/>
          <w:color w:val="333333"/>
          <w:sz w:val="24"/>
          <w:szCs w:val="24"/>
        </w:rPr>
        <w:t>月</w:t>
      </w:r>
      <w:r>
        <w:rPr>
          <w:rFonts w:hint="eastAsia" w:ascii="仿宋" w:hAnsi="仿宋" w:eastAsia="仿宋" w:cs="仿宋"/>
          <w:i w:val="0"/>
          <w:color w:val="333333"/>
          <w:sz w:val="24"/>
          <w:szCs w:val="24"/>
          <w:lang w:val="en-US" w:eastAsia="zh-CN"/>
        </w:rPr>
        <w:t>25</w:t>
      </w:r>
      <w:r>
        <w:rPr>
          <w:rFonts w:hint="eastAsia" w:ascii="仿宋" w:hAnsi="仿宋" w:eastAsia="仿宋" w:cs="仿宋"/>
          <w:i w:val="0"/>
          <w:color w:val="333333"/>
          <w:sz w:val="24"/>
          <w:szCs w:val="24"/>
        </w:rPr>
        <w:t>，逾期不接收报名（不接受邮件报名）；</w:t>
      </w:r>
    </w:p>
    <w:p>
      <w:pPr>
        <w:pStyle w:val="12"/>
        <w:keepNext w:val="0"/>
        <w:keepLines w:val="0"/>
        <w:pageBreakBefore w:val="0"/>
        <w:widowControl/>
        <w:numPr>
          <w:ilvl w:val="0"/>
          <w:numId w:val="2"/>
        </w:numPr>
        <w:pBdr>
          <w:top w:val="none" w:color="auto" w:sz="0" w:space="0"/>
          <w:left w:val="none" w:color="auto" w:sz="0" w:space="0"/>
          <w:bottom w:val="none" w:color="auto" w:sz="0" w:space="0"/>
          <w:right w:val="none" w:color="auto" w:sz="0" w:space="0"/>
        </w:pBdr>
        <w:tabs>
          <w:tab w:val="left" w:pos="1200"/>
        </w:tabs>
        <w:kinsoku/>
        <w:wordWrap/>
        <w:overflowPunct/>
        <w:topLinePunct w:val="0"/>
        <w:autoSpaceDE/>
        <w:autoSpaceDN/>
        <w:bidi w:val="0"/>
        <w:adjustRightInd/>
        <w:snapToGrid/>
        <w:spacing w:line="260" w:lineRule="exact"/>
        <w:ind w:left="0" w:leftChars="0" w:firstLine="480" w:firstLineChars="200"/>
        <w:textAlignment w:val="auto"/>
        <w:rPr>
          <w:rFonts w:hint="eastAsia" w:ascii="仿宋" w:hAnsi="仿宋" w:eastAsia="仿宋" w:cs="仿宋"/>
          <w:b w:val="0"/>
          <w:i w:val="0"/>
          <w:color w:val="333333"/>
          <w:sz w:val="24"/>
          <w:szCs w:val="24"/>
        </w:rPr>
      </w:pPr>
      <w:r>
        <w:rPr>
          <w:rFonts w:hint="eastAsia" w:ascii="仿宋" w:hAnsi="仿宋" w:eastAsia="仿宋" w:cs="仿宋"/>
          <w:i w:val="0"/>
          <w:color w:val="333333"/>
          <w:sz w:val="24"/>
          <w:szCs w:val="24"/>
        </w:rPr>
        <w:t>现场报名方式：桂林市七星区半塘路6号 桂林市中西医结合医院</w:t>
      </w:r>
      <w:r>
        <w:rPr>
          <w:rFonts w:hint="eastAsia" w:ascii="仿宋" w:hAnsi="仿宋" w:eastAsia="仿宋" w:cs="仿宋"/>
          <w:i w:val="0"/>
          <w:color w:val="333333"/>
          <w:sz w:val="24"/>
          <w:szCs w:val="24"/>
          <w:lang w:eastAsia="zh-CN"/>
        </w:rPr>
        <w:t>设备</w:t>
      </w:r>
      <w:r>
        <w:rPr>
          <w:rFonts w:hint="eastAsia" w:ascii="仿宋" w:hAnsi="仿宋" w:eastAsia="仿宋" w:cs="仿宋"/>
          <w:i w:val="0"/>
          <w:color w:val="333333"/>
          <w:sz w:val="24"/>
          <w:szCs w:val="24"/>
        </w:rPr>
        <w:t>科；</w:t>
      </w:r>
    </w:p>
    <w:p>
      <w:pPr>
        <w:pStyle w:val="12"/>
        <w:keepNext w:val="0"/>
        <w:keepLines w:val="0"/>
        <w:pageBreakBefore w:val="0"/>
        <w:widowControl/>
        <w:numPr>
          <w:ilvl w:val="0"/>
          <w:numId w:val="2"/>
        </w:numPr>
        <w:pBdr>
          <w:top w:val="none" w:color="auto" w:sz="0" w:space="0"/>
          <w:left w:val="none" w:color="auto" w:sz="0" w:space="0"/>
          <w:bottom w:val="none" w:color="auto" w:sz="0" w:space="0"/>
          <w:right w:val="none" w:color="auto" w:sz="0" w:space="0"/>
        </w:pBdr>
        <w:tabs>
          <w:tab w:val="left" w:pos="1200"/>
        </w:tabs>
        <w:kinsoku/>
        <w:wordWrap/>
        <w:overflowPunct/>
        <w:topLinePunct w:val="0"/>
        <w:autoSpaceDE/>
        <w:autoSpaceDN/>
        <w:bidi w:val="0"/>
        <w:adjustRightInd/>
        <w:snapToGrid/>
        <w:spacing w:line="260" w:lineRule="exact"/>
        <w:ind w:left="0" w:leftChars="0" w:firstLine="480" w:firstLineChars="200"/>
        <w:textAlignment w:val="auto"/>
        <w:rPr>
          <w:rFonts w:hint="eastAsia" w:ascii="仿宋" w:hAnsi="仿宋" w:eastAsia="仿宋" w:cs="仿宋"/>
          <w:b w:val="0"/>
          <w:i w:val="0"/>
          <w:color w:val="333333"/>
          <w:sz w:val="24"/>
          <w:szCs w:val="24"/>
        </w:rPr>
      </w:pPr>
      <w:r>
        <w:rPr>
          <w:rFonts w:hint="eastAsia" w:ascii="仿宋" w:hAnsi="仿宋" w:eastAsia="仿宋" w:cs="仿宋"/>
          <w:i w:val="0"/>
          <w:color w:val="333333"/>
          <w:sz w:val="24"/>
          <w:szCs w:val="24"/>
        </w:rPr>
        <w:t>参询单位报名时须提供：</w:t>
      </w:r>
    </w:p>
    <w:p>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80"/>
        </w:tabs>
        <w:kinsoku/>
        <w:wordWrap/>
        <w:overflowPunct/>
        <w:topLinePunct w:val="0"/>
        <w:autoSpaceDE/>
        <w:autoSpaceDN/>
        <w:bidi w:val="0"/>
        <w:adjustRightInd/>
        <w:snapToGrid/>
        <w:spacing w:line="260" w:lineRule="exact"/>
        <w:ind w:firstLine="480" w:firstLineChars="200"/>
        <w:textAlignment w:val="auto"/>
        <w:rPr>
          <w:rFonts w:hint="eastAsia" w:ascii="仿宋" w:hAnsi="仿宋" w:eastAsia="仿宋" w:cs="仿宋"/>
          <w:b w:val="0"/>
          <w:i w:val="0"/>
          <w:color w:val="333333"/>
          <w:sz w:val="24"/>
          <w:szCs w:val="24"/>
        </w:rPr>
      </w:pPr>
      <w:r>
        <w:rPr>
          <w:rFonts w:hint="eastAsia" w:ascii="仿宋" w:hAnsi="仿宋" w:eastAsia="仿宋" w:cs="仿宋"/>
          <w:i w:val="0"/>
          <w:color w:val="333333"/>
          <w:sz w:val="24"/>
          <w:szCs w:val="24"/>
          <w:lang w:val="en-US" w:eastAsia="zh-CN"/>
        </w:rPr>
        <w:t>1.</w:t>
      </w:r>
      <w:r>
        <w:rPr>
          <w:rFonts w:hint="eastAsia" w:ascii="仿宋" w:hAnsi="仿宋" w:eastAsia="仿宋" w:cs="仿宋"/>
          <w:i w:val="0"/>
          <w:color w:val="333333"/>
          <w:sz w:val="24"/>
          <w:szCs w:val="24"/>
        </w:rPr>
        <w:t>营业执照、法人身份证及受委托人身份证，以上文件需提供复印件并加盖单位公章，如是法人授权委托的须提供授权委托书原件并加盖公章；</w:t>
      </w:r>
      <w:bookmarkStart w:id="3" w:name="_GoBack"/>
      <w:bookmarkEnd w:id="3"/>
    </w:p>
    <w:p>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80"/>
        </w:tabs>
        <w:kinsoku/>
        <w:wordWrap/>
        <w:overflowPunct/>
        <w:topLinePunct w:val="0"/>
        <w:autoSpaceDE/>
        <w:autoSpaceDN/>
        <w:bidi w:val="0"/>
        <w:adjustRightInd/>
        <w:snapToGrid/>
        <w:spacing w:line="260" w:lineRule="exact"/>
        <w:ind w:firstLine="480" w:firstLineChars="200"/>
        <w:textAlignment w:val="auto"/>
        <w:rPr>
          <w:rFonts w:hint="eastAsia" w:ascii="仿宋" w:hAnsi="仿宋" w:eastAsia="仿宋" w:cs="仿宋"/>
          <w:b w:val="0"/>
          <w:i w:val="0"/>
          <w:color w:val="333333"/>
          <w:sz w:val="24"/>
          <w:szCs w:val="24"/>
        </w:rPr>
      </w:pPr>
      <w:r>
        <w:rPr>
          <w:rFonts w:hint="eastAsia" w:ascii="仿宋" w:hAnsi="仿宋" w:eastAsia="仿宋" w:cs="仿宋"/>
          <w:i w:val="0"/>
          <w:color w:val="333333"/>
          <w:sz w:val="24"/>
          <w:szCs w:val="24"/>
          <w:lang w:val="en-US" w:eastAsia="zh-CN"/>
        </w:rPr>
        <w:t>2.</w:t>
      </w:r>
      <w:r>
        <w:rPr>
          <w:rFonts w:hint="eastAsia" w:ascii="仿宋" w:hAnsi="仿宋" w:eastAsia="仿宋" w:cs="仿宋"/>
          <w:i w:val="0"/>
          <w:color w:val="333333"/>
          <w:sz w:val="24"/>
          <w:szCs w:val="24"/>
        </w:rPr>
        <w:t>在全国投资项目在线审批监管平台上进行工程咨询单位备案证明复印件并加盖公章。</w:t>
      </w:r>
    </w:p>
    <w:p>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80"/>
        </w:tabs>
        <w:kinsoku/>
        <w:wordWrap/>
        <w:overflowPunct/>
        <w:topLinePunct w:val="0"/>
        <w:autoSpaceDE/>
        <w:autoSpaceDN/>
        <w:bidi w:val="0"/>
        <w:adjustRightInd/>
        <w:snapToGrid/>
        <w:spacing w:line="260" w:lineRule="exact"/>
        <w:ind w:firstLine="480" w:firstLineChars="200"/>
        <w:textAlignment w:val="auto"/>
        <w:rPr>
          <w:rFonts w:hint="eastAsia" w:ascii="仿宋" w:hAnsi="仿宋" w:eastAsia="仿宋" w:cs="仿宋"/>
          <w:b w:val="0"/>
          <w:i w:val="0"/>
          <w:color w:val="333333"/>
          <w:sz w:val="24"/>
          <w:szCs w:val="24"/>
        </w:rPr>
      </w:pPr>
      <w:r>
        <w:rPr>
          <w:rFonts w:hint="eastAsia" w:ascii="仿宋" w:hAnsi="仿宋" w:eastAsia="仿宋" w:cs="仿宋"/>
          <w:i w:val="0"/>
          <w:color w:val="333333"/>
          <w:sz w:val="24"/>
          <w:szCs w:val="24"/>
          <w:lang w:val="en-US" w:eastAsia="zh-CN"/>
        </w:rPr>
        <w:t>3.</w:t>
      </w:r>
      <w:r>
        <w:rPr>
          <w:rFonts w:hint="eastAsia" w:ascii="仿宋" w:hAnsi="仿宋" w:eastAsia="仿宋" w:cs="仿宋"/>
          <w:i w:val="0"/>
          <w:color w:val="333333"/>
          <w:sz w:val="24"/>
          <w:szCs w:val="24"/>
        </w:rPr>
        <w:t>近3年内无不良记录，无采取不合法方式解决合同纠纷记录证明或承诺声明（原件）加盖单位公章；</w:t>
      </w:r>
    </w:p>
    <w:p>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80"/>
        </w:tabs>
        <w:kinsoku/>
        <w:wordWrap/>
        <w:overflowPunct/>
        <w:topLinePunct w:val="0"/>
        <w:autoSpaceDE/>
        <w:autoSpaceDN/>
        <w:bidi w:val="0"/>
        <w:adjustRightInd/>
        <w:snapToGrid/>
        <w:spacing w:line="260" w:lineRule="exact"/>
        <w:ind w:firstLine="480" w:firstLineChars="200"/>
        <w:textAlignment w:val="auto"/>
        <w:rPr>
          <w:rFonts w:hint="eastAsia" w:ascii="仿宋" w:hAnsi="仿宋" w:eastAsia="仿宋" w:cs="仿宋"/>
          <w:b w:val="0"/>
          <w:i w:val="0"/>
          <w:color w:val="333333"/>
          <w:sz w:val="24"/>
          <w:szCs w:val="24"/>
        </w:rPr>
      </w:pPr>
      <w:r>
        <w:rPr>
          <w:rFonts w:hint="eastAsia" w:ascii="仿宋" w:hAnsi="仿宋" w:eastAsia="仿宋" w:cs="仿宋"/>
          <w:i w:val="0"/>
          <w:color w:val="333333"/>
          <w:sz w:val="24"/>
          <w:szCs w:val="24"/>
          <w:lang w:val="en-US" w:eastAsia="zh-CN"/>
        </w:rPr>
        <w:t>4.</w:t>
      </w:r>
      <w:r>
        <w:rPr>
          <w:rFonts w:hint="eastAsia" w:ascii="仿宋" w:hAnsi="仿宋" w:eastAsia="仿宋" w:cs="仿宋"/>
          <w:i w:val="0"/>
          <w:color w:val="333333"/>
          <w:sz w:val="24"/>
          <w:szCs w:val="24"/>
        </w:rPr>
        <w:t>提供在“信用中国”网站(www.creditchina.gov.cn)及中国政府采购网(www.ccgp.gov.cn)等渠道未被列入失信被执行人、重大税收违法案件当事人名单、政府采购严重违法失信行为记录名单的证明，证明材料需提供网站截图并加盖公章。</w:t>
      </w:r>
    </w:p>
    <w:p>
      <w:pPr>
        <w:pStyle w:val="12"/>
        <w:keepNext w:val="0"/>
        <w:keepLines w:val="0"/>
        <w:pageBreakBefore w:val="0"/>
        <w:widowControl/>
        <w:numPr>
          <w:ilvl w:val="0"/>
          <w:numId w:val="1"/>
        </w:numPr>
        <w:pBdr>
          <w:top w:val="none" w:color="auto" w:sz="0" w:space="0"/>
          <w:left w:val="none" w:color="auto" w:sz="0" w:space="0"/>
          <w:bottom w:val="none" w:color="auto" w:sz="0" w:space="0"/>
          <w:right w:val="none" w:color="auto" w:sz="0" w:space="0"/>
        </w:pBdr>
        <w:tabs>
          <w:tab w:val="left" w:pos="963"/>
        </w:tabs>
        <w:kinsoku/>
        <w:wordWrap/>
        <w:overflowPunct/>
        <w:topLinePunct w:val="0"/>
        <w:autoSpaceDE/>
        <w:autoSpaceDN/>
        <w:bidi w:val="0"/>
        <w:adjustRightInd/>
        <w:snapToGrid/>
        <w:spacing w:line="260" w:lineRule="exact"/>
        <w:ind w:left="0" w:leftChars="0" w:firstLine="482" w:firstLineChars="200"/>
        <w:textAlignment w:val="auto"/>
        <w:rPr>
          <w:rFonts w:hint="eastAsia" w:ascii="仿宋" w:hAnsi="仿宋" w:eastAsia="仿宋" w:cs="仿宋"/>
          <w:b/>
          <w:i w:val="0"/>
          <w:color w:val="333333"/>
          <w:sz w:val="24"/>
          <w:szCs w:val="24"/>
        </w:rPr>
      </w:pPr>
      <w:r>
        <w:rPr>
          <w:rFonts w:hint="eastAsia" w:ascii="仿宋" w:hAnsi="仿宋" w:eastAsia="仿宋" w:cs="仿宋"/>
          <w:b/>
          <w:i w:val="0"/>
          <w:color w:val="333333"/>
          <w:sz w:val="24"/>
          <w:szCs w:val="24"/>
        </w:rPr>
        <w:t>评审时间及联系方式</w:t>
      </w:r>
    </w:p>
    <w:p>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80"/>
        </w:tabs>
        <w:kinsoku/>
        <w:wordWrap/>
        <w:overflowPunct/>
        <w:topLinePunct w:val="0"/>
        <w:autoSpaceDE/>
        <w:autoSpaceDN/>
        <w:bidi w:val="0"/>
        <w:adjustRightInd/>
        <w:snapToGrid/>
        <w:spacing w:line="260" w:lineRule="exact"/>
        <w:ind w:leftChars="200"/>
        <w:textAlignment w:val="auto"/>
        <w:rPr>
          <w:rFonts w:hint="eastAsia" w:ascii="仿宋" w:hAnsi="仿宋" w:eastAsia="仿宋" w:cs="仿宋"/>
          <w:b w:val="0"/>
          <w:i w:val="0"/>
          <w:color w:val="333333"/>
          <w:sz w:val="24"/>
          <w:szCs w:val="24"/>
        </w:rPr>
      </w:pPr>
      <w:r>
        <w:rPr>
          <w:rFonts w:hint="eastAsia" w:ascii="仿宋" w:hAnsi="仿宋" w:eastAsia="仿宋" w:cs="仿宋"/>
          <w:i w:val="0"/>
          <w:color w:val="333333"/>
          <w:sz w:val="24"/>
          <w:szCs w:val="24"/>
          <w:lang w:val="en-US" w:eastAsia="zh-CN"/>
        </w:rPr>
        <w:t>1.</w:t>
      </w:r>
      <w:r>
        <w:rPr>
          <w:rFonts w:hint="eastAsia" w:ascii="仿宋" w:hAnsi="仿宋" w:eastAsia="仿宋" w:cs="仿宋"/>
          <w:i w:val="0"/>
          <w:color w:val="333333"/>
          <w:sz w:val="24"/>
          <w:szCs w:val="24"/>
        </w:rPr>
        <w:t>评审会议时间和地点：另行通知；</w:t>
      </w:r>
    </w:p>
    <w:p>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80"/>
        </w:tabs>
        <w:kinsoku/>
        <w:wordWrap/>
        <w:overflowPunct/>
        <w:topLinePunct w:val="0"/>
        <w:autoSpaceDE/>
        <w:autoSpaceDN/>
        <w:bidi w:val="0"/>
        <w:adjustRightInd/>
        <w:snapToGrid/>
        <w:spacing w:line="260" w:lineRule="exact"/>
        <w:ind w:leftChars="200"/>
        <w:textAlignment w:val="auto"/>
        <w:rPr>
          <w:rFonts w:hint="eastAsia" w:ascii="仿宋" w:hAnsi="仿宋" w:eastAsia="仿宋" w:cs="仿宋"/>
          <w:b w:val="0"/>
          <w:i w:val="0"/>
          <w:color w:val="333333"/>
          <w:sz w:val="24"/>
          <w:szCs w:val="24"/>
        </w:rPr>
      </w:pPr>
      <w:r>
        <w:rPr>
          <w:rFonts w:hint="eastAsia" w:ascii="仿宋" w:hAnsi="仿宋" w:eastAsia="仿宋" w:cs="仿宋"/>
          <w:i w:val="0"/>
          <w:color w:val="333333"/>
          <w:sz w:val="24"/>
          <w:szCs w:val="24"/>
          <w:lang w:val="en-US" w:eastAsia="zh-CN"/>
        </w:rPr>
        <w:t>2.</w:t>
      </w:r>
      <w:r>
        <w:rPr>
          <w:rFonts w:hint="eastAsia" w:ascii="仿宋" w:hAnsi="仿宋" w:eastAsia="仿宋" w:cs="仿宋"/>
          <w:i w:val="0"/>
          <w:color w:val="333333"/>
          <w:sz w:val="24"/>
          <w:szCs w:val="24"/>
          <w:lang w:eastAsia="zh-CN"/>
        </w:rPr>
        <w:t>评审文件详见附件；</w:t>
      </w:r>
    </w:p>
    <w:p>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80"/>
        </w:tabs>
        <w:kinsoku/>
        <w:wordWrap/>
        <w:overflowPunct/>
        <w:topLinePunct w:val="0"/>
        <w:autoSpaceDE/>
        <w:autoSpaceDN/>
        <w:bidi w:val="0"/>
        <w:adjustRightInd/>
        <w:snapToGrid/>
        <w:spacing w:line="260" w:lineRule="exact"/>
        <w:ind w:leftChars="200"/>
        <w:textAlignment w:val="auto"/>
        <w:rPr>
          <w:rFonts w:hint="default" w:ascii="仿宋" w:hAnsi="仿宋" w:eastAsia="仿宋" w:cs="仿宋"/>
          <w:b w:val="0"/>
          <w:i w:val="0"/>
          <w:color w:val="333333"/>
          <w:sz w:val="24"/>
          <w:szCs w:val="24"/>
          <w:lang w:val="en-US" w:eastAsia="zh-CN"/>
        </w:rPr>
      </w:pPr>
      <w:r>
        <w:rPr>
          <w:rFonts w:hint="eastAsia" w:ascii="仿宋" w:hAnsi="仿宋" w:eastAsia="仿宋" w:cs="仿宋"/>
          <w:i w:val="0"/>
          <w:color w:val="333333"/>
          <w:sz w:val="24"/>
          <w:szCs w:val="24"/>
          <w:lang w:val="en-US" w:eastAsia="zh-CN"/>
        </w:rPr>
        <w:t>3.</w:t>
      </w:r>
      <w:r>
        <w:rPr>
          <w:rFonts w:hint="eastAsia" w:ascii="仿宋" w:hAnsi="仿宋" w:eastAsia="仿宋" w:cs="仿宋"/>
          <w:i w:val="0"/>
          <w:color w:val="333333"/>
          <w:sz w:val="24"/>
          <w:szCs w:val="24"/>
        </w:rPr>
        <w:t>联系人：</w:t>
      </w:r>
      <w:r>
        <w:rPr>
          <w:rFonts w:hint="eastAsia" w:ascii="仿宋" w:hAnsi="仿宋" w:eastAsia="仿宋" w:cs="仿宋"/>
          <w:i w:val="0"/>
          <w:color w:val="333333"/>
          <w:sz w:val="24"/>
          <w:szCs w:val="24"/>
          <w:lang w:val="en-US" w:eastAsia="zh-CN"/>
        </w:rPr>
        <w:t xml:space="preserve">凌老师   </w:t>
      </w:r>
      <w:r>
        <w:rPr>
          <w:rFonts w:hint="eastAsia" w:ascii="仿宋" w:hAnsi="仿宋" w:eastAsia="仿宋" w:cs="仿宋"/>
          <w:i w:val="0"/>
          <w:color w:val="333333"/>
          <w:sz w:val="24"/>
          <w:szCs w:val="24"/>
        </w:rPr>
        <w:t>电话：</w:t>
      </w:r>
      <w:r>
        <w:rPr>
          <w:rFonts w:hint="eastAsia" w:ascii="仿宋" w:hAnsi="仿宋" w:eastAsia="仿宋" w:cs="仿宋"/>
          <w:i w:val="0"/>
          <w:color w:val="333333"/>
          <w:sz w:val="24"/>
          <w:szCs w:val="24"/>
          <w:lang w:val="en-US" w:eastAsia="zh-CN"/>
        </w:rPr>
        <w:t>18707738012</w:t>
      </w:r>
    </w:p>
    <w:p>
      <w:pPr>
        <w:pStyle w:val="13"/>
        <w:keepNext w:val="0"/>
        <w:keepLines w:val="0"/>
        <w:pageBreakBefore w:val="0"/>
        <w:kinsoku/>
        <w:wordWrap/>
        <w:overflowPunct/>
        <w:topLinePunct w:val="0"/>
        <w:autoSpaceDE/>
        <w:autoSpaceDN/>
        <w:bidi w:val="0"/>
        <w:adjustRightInd/>
        <w:snapToGrid/>
        <w:spacing w:line="260" w:lineRule="exact"/>
        <w:textAlignment w:val="auto"/>
        <w:rPr>
          <w:rFonts w:hint="eastAsia" w:ascii="仿宋" w:hAnsi="仿宋" w:eastAsia="仿宋" w:cs="仿宋"/>
          <w:sz w:val="24"/>
          <w:szCs w:val="24"/>
          <w:lang w:val="en-US" w:eastAsia="zh-CN"/>
        </w:rPr>
      </w:pPr>
    </w:p>
    <w:p>
      <w:pPr>
        <w:pStyle w:val="11"/>
        <w:keepNext w:val="0"/>
        <w:keepLines w:val="0"/>
        <w:pageBreakBefore w:val="0"/>
        <w:kinsoku/>
        <w:wordWrap/>
        <w:overflowPunct/>
        <w:topLinePunct w:val="0"/>
        <w:autoSpaceDE/>
        <w:autoSpaceDN/>
        <w:bidi w:val="0"/>
        <w:adjustRightInd/>
        <w:snapToGrid/>
        <w:spacing w:line="260" w:lineRule="exact"/>
        <w:textAlignment w:val="auto"/>
        <w:rPr>
          <w:rFonts w:hint="eastAsia" w:ascii="仿宋" w:hAnsi="仿宋" w:eastAsia="仿宋" w:cs="仿宋"/>
          <w:sz w:val="24"/>
          <w:szCs w:val="24"/>
          <w:lang w:val="en-US" w:eastAsia="zh-CN"/>
        </w:rPr>
      </w:pPr>
    </w:p>
    <w:p>
      <w:pPr>
        <w:pStyle w:val="12"/>
        <w:keepNext w:val="0"/>
        <w:keepLines w:val="0"/>
        <w:pageBreakBefore w:val="0"/>
        <w:numPr>
          <w:ilvl w:val="0"/>
          <w:numId w:val="0"/>
        </w:numPr>
        <w:tabs>
          <w:tab w:val="left" w:pos="780"/>
        </w:tabs>
        <w:kinsoku/>
        <w:wordWrap/>
        <w:overflowPunct/>
        <w:topLinePunct w:val="0"/>
        <w:autoSpaceDE/>
        <w:autoSpaceDN/>
        <w:bidi w:val="0"/>
        <w:adjustRightInd/>
        <w:snapToGrid/>
        <w:spacing w:line="260" w:lineRule="exact"/>
        <w:ind w:leftChars="200" w:firstLine="6960" w:firstLineChars="29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桂林市中西医结合医院</w:t>
      </w:r>
    </w:p>
    <w:p>
      <w:pPr>
        <w:pStyle w:val="12"/>
        <w:keepNext w:val="0"/>
        <w:keepLines w:val="0"/>
        <w:pageBreakBefore w:val="0"/>
        <w:numPr>
          <w:ilvl w:val="0"/>
          <w:numId w:val="0"/>
        </w:numPr>
        <w:tabs>
          <w:tab w:val="left" w:pos="780"/>
        </w:tabs>
        <w:kinsoku/>
        <w:wordWrap/>
        <w:overflowPunct/>
        <w:topLinePunct w:val="0"/>
        <w:autoSpaceDE/>
        <w:autoSpaceDN/>
        <w:bidi w:val="0"/>
        <w:adjustRightInd/>
        <w:snapToGrid/>
        <w:spacing w:line="260" w:lineRule="exact"/>
        <w:ind w:left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2026年8月18日</w:t>
      </w:r>
    </w:p>
    <w:p>
      <w:pPr>
        <w:rPr>
          <w:rFonts w:hint="eastAsia" w:ascii="仿宋" w:hAnsi="仿宋" w:eastAsia="仿宋" w:cs="仿宋"/>
          <w:b/>
          <w:color w:val="auto"/>
          <w:kern w:val="0"/>
          <w:sz w:val="24"/>
          <w:szCs w:val="20"/>
          <w:highlight w:val="none"/>
        </w:rPr>
      </w:pPr>
      <w:r>
        <w:rPr>
          <w:rFonts w:hint="eastAsia" w:ascii="仿宋" w:hAnsi="仿宋" w:eastAsia="仿宋" w:cs="仿宋"/>
          <w:b/>
          <w:color w:val="auto"/>
          <w:kern w:val="0"/>
          <w:sz w:val="24"/>
          <w:szCs w:val="20"/>
          <w:highlight w:val="none"/>
        </w:rPr>
        <w:t>附件：</w:t>
      </w:r>
    </w:p>
    <w:p>
      <w:pPr>
        <w:pStyle w:val="17"/>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桂林市中西医结合医院</w:t>
      </w:r>
      <w:r>
        <w:rPr>
          <w:rFonts w:hint="eastAsia" w:ascii="方正小标宋简体" w:hAnsi="方正小标宋简体" w:eastAsia="方正小标宋简体" w:cs="方正小标宋简体"/>
          <w:lang w:eastAsia="zh-CN"/>
        </w:rPr>
        <w:t>设备更新</w:t>
      </w:r>
      <w:r>
        <w:rPr>
          <w:rFonts w:hint="eastAsia" w:ascii="方正小标宋简体" w:hAnsi="方正小标宋简体" w:eastAsia="方正小标宋简体" w:cs="方正小标宋简体"/>
        </w:rPr>
        <w:t>项目前期咨询服务采购文件</w:t>
      </w:r>
    </w:p>
    <w:p>
      <w:pPr>
        <w:pStyle w:val="2"/>
        <w:numPr>
          <w:ilvl w:val="0"/>
          <w:numId w:val="3"/>
        </w:numPr>
        <w:tabs>
          <w:tab w:val="left" w:pos="963"/>
        </w:tabs>
        <w:topLinePunct w:val="0"/>
        <w:spacing w:line="240" w:lineRule="auto"/>
        <w:ind w:left="0" w:leftChars="0" w:firstLine="482" w:firstLineChars="200"/>
        <w:rPr>
          <w:rFonts w:hint="eastAsia" w:ascii="仿宋" w:hAnsi="仿宋" w:eastAsia="仿宋" w:cs="仿宋"/>
          <w:b/>
          <w:highlight w:val="none"/>
        </w:rPr>
      </w:pPr>
      <w:r>
        <w:rPr>
          <w:rFonts w:hint="eastAsia" w:ascii="仿宋" w:hAnsi="仿宋" w:eastAsia="仿宋" w:cs="仿宋"/>
          <w:highlight w:val="none"/>
        </w:rPr>
        <w:t>响应文件的编制</w:t>
      </w:r>
    </w:p>
    <w:p>
      <w:pPr>
        <w:pStyle w:val="3"/>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（一）响应文件的组成【格式见第四点“响应文件（格式）”】</w:t>
      </w:r>
    </w:p>
    <w:p>
      <w:pPr>
        <w:pStyle w:val="12"/>
        <w:numPr>
          <w:ilvl w:val="0"/>
          <w:numId w:val="4"/>
        </w:numPr>
        <w:tabs>
          <w:tab w:val="left" w:pos="783"/>
          <w:tab w:val="clear" w:pos="210"/>
        </w:tabs>
        <w:spacing w:line="240" w:lineRule="auto"/>
        <w:ind w:left="0" w:leftChars="0"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资格性响应证明材料：</w:t>
      </w:r>
    </w:p>
    <w:p>
      <w:pPr>
        <w:pStyle w:val="12"/>
        <w:numPr>
          <w:ilvl w:val="0"/>
          <w:numId w:val="5"/>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响应函</w:t>
      </w:r>
      <w:r>
        <w:rPr>
          <w:rFonts w:hint="eastAsia" w:ascii="仿宋" w:hAnsi="仿宋" w:eastAsia="仿宋" w:cs="仿宋"/>
          <w:b/>
          <w:color w:val="auto"/>
          <w:sz w:val="24"/>
          <w:highlight w:val="none"/>
        </w:rPr>
        <w:t>（必须提供）；</w:t>
      </w:r>
    </w:p>
    <w:p>
      <w:pPr>
        <w:pStyle w:val="12"/>
        <w:numPr>
          <w:ilvl w:val="0"/>
          <w:numId w:val="5"/>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供应商的法定代表人身份证正反面复印件</w:t>
      </w:r>
      <w:r>
        <w:rPr>
          <w:rFonts w:hint="eastAsia" w:ascii="仿宋" w:hAnsi="仿宋" w:eastAsia="仿宋" w:cs="仿宋"/>
          <w:b/>
          <w:color w:val="auto"/>
          <w:sz w:val="24"/>
          <w:highlight w:val="none"/>
        </w:rPr>
        <w:t>（必须提供）</w:t>
      </w:r>
      <w:r>
        <w:rPr>
          <w:rFonts w:hint="eastAsia" w:ascii="仿宋" w:hAnsi="仿宋" w:eastAsia="仿宋" w:cs="仿宋"/>
          <w:color w:val="auto"/>
          <w:sz w:val="24"/>
          <w:highlight w:val="none"/>
        </w:rPr>
        <w:t>；</w:t>
      </w:r>
    </w:p>
    <w:p>
      <w:pPr>
        <w:pStyle w:val="12"/>
        <w:widowControl/>
        <w:numPr>
          <w:ilvl w:val="0"/>
          <w:numId w:val="5"/>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供应商的授权委托书原件、委托代理人身份证正反面复印件</w:t>
      </w:r>
      <w:r>
        <w:rPr>
          <w:rFonts w:hint="eastAsia" w:ascii="仿宋" w:hAnsi="仿宋" w:eastAsia="仿宋" w:cs="仿宋"/>
          <w:b/>
          <w:color w:val="auto"/>
          <w:sz w:val="24"/>
          <w:highlight w:val="none"/>
        </w:rPr>
        <w:t>（委托代理时必须提供）</w:t>
      </w:r>
      <w:r>
        <w:rPr>
          <w:rFonts w:hint="eastAsia" w:ascii="仿宋" w:hAnsi="仿宋" w:eastAsia="仿宋" w:cs="仿宋"/>
          <w:color w:val="auto"/>
          <w:sz w:val="24"/>
          <w:highlight w:val="none"/>
        </w:rPr>
        <w:t>；</w:t>
      </w:r>
    </w:p>
    <w:p>
      <w:pPr>
        <w:pStyle w:val="12"/>
        <w:numPr>
          <w:ilvl w:val="0"/>
          <w:numId w:val="5"/>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供应商营业执照复印件（必</w:t>
      </w:r>
      <w:r>
        <w:rPr>
          <w:rFonts w:hint="eastAsia" w:ascii="仿宋" w:hAnsi="仿宋" w:eastAsia="仿宋" w:cs="仿宋"/>
          <w:b/>
          <w:color w:val="auto"/>
          <w:sz w:val="24"/>
          <w:highlight w:val="none"/>
        </w:rPr>
        <w:t>须提供）；</w:t>
      </w:r>
    </w:p>
    <w:p>
      <w:pPr>
        <w:pStyle w:val="12"/>
        <w:numPr>
          <w:ilvl w:val="0"/>
          <w:numId w:val="5"/>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供应商在全国投资项目在线审批监管平台完成工程咨询单位备案证明材料</w:t>
      </w:r>
      <w:r>
        <w:rPr>
          <w:rFonts w:hint="eastAsia" w:ascii="仿宋" w:hAnsi="仿宋" w:eastAsia="仿宋" w:cs="仿宋"/>
          <w:b/>
          <w:color w:val="auto"/>
          <w:sz w:val="24"/>
          <w:highlight w:val="none"/>
        </w:rPr>
        <w:t>（必须提供）</w:t>
      </w:r>
      <w:r>
        <w:rPr>
          <w:rFonts w:hint="eastAsia" w:ascii="仿宋" w:hAnsi="仿宋" w:eastAsia="仿宋" w:cs="仿宋"/>
          <w:color w:val="auto"/>
          <w:sz w:val="24"/>
          <w:highlight w:val="none"/>
        </w:rPr>
        <w:t>；</w:t>
      </w:r>
    </w:p>
    <w:p>
      <w:pPr>
        <w:pStyle w:val="12"/>
        <w:numPr>
          <w:ilvl w:val="0"/>
          <w:numId w:val="5"/>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供应商直接控股、管理关系信息表</w:t>
      </w:r>
      <w:r>
        <w:rPr>
          <w:rFonts w:hint="eastAsia" w:ascii="仿宋" w:hAnsi="仿宋" w:eastAsia="仿宋" w:cs="仿宋"/>
          <w:b/>
          <w:color w:val="auto"/>
          <w:sz w:val="24"/>
          <w:highlight w:val="none"/>
        </w:rPr>
        <w:t>（必须提供）；</w:t>
      </w:r>
    </w:p>
    <w:p>
      <w:pPr>
        <w:pStyle w:val="12"/>
        <w:numPr>
          <w:ilvl w:val="0"/>
          <w:numId w:val="5"/>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供应商参加采购活动前3年内在经营活动中没有重大违法记录及有关信用信息的书面声明</w:t>
      </w:r>
      <w:r>
        <w:rPr>
          <w:rFonts w:hint="eastAsia" w:ascii="仿宋" w:hAnsi="仿宋" w:eastAsia="仿宋" w:cs="仿宋"/>
          <w:b/>
          <w:color w:val="auto"/>
          <w:sz w:val="24"/>
          <w:highlight w:val="none"/>
        </w:rPr>
        <w:t>（必须提供）；</w:t>
      </w:r>
    </w:p>
    <w:p>
      <w:pPr>
        <w:pStyle w:val="12"/>
        <w:numPr>
          <w:ilvl w:val="0"/>
          <w:numId w:val="5"/>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供应商在“信用中国”网(www.creditchina.gov.cn)查询网站直接打印的信用查询记录,以及中国政府采购网(www.ccgp.gov.cn)等渠道列入失信被执行人、重大税收违法案件当事人名单、政府采购严重违法失信行为记录名单打印材料</w:t>
      </w:r>
      <w:r>
        <w:rPr>
          <w:rFonts w:hint="eastAsia" w:ascii="仿宋" w:hAnsi="仿宋" w:eastAsia="仿宋" w:cs="仿宋"/>
          <w:b/>
          <w:color w:val="auto"/>
          <w:sz w:val="24"/>
          <w:highlight w:val="none"/>
        </w:rPr>
        <w:t>（必须提供）</w:t>
      </w:r>
      <w:r>
        <w:rPr>
          <w:rFonts w:hint="eastAsia" w:ascii="仿宋" w:hAnsi="仿宋" w:eastAsia="仿宋" w:cs="仿宋"/>
          <w:color w:val="auto"/>
          <w:sz w:val="24"/>
          <w:highlight w:val="none"/>
        </w:rPr>
        <w:t>。</w:t>
      </w:r>
    </w:p>
    <w:p>
      <w:pPr>
        <w:pStyle w:val="12"/>
        <w:numPr>
          <w:ilvl w:val="0"/>
          <w:numId w:val="4"/>
        </w:numPr>
        <w:tabs>
          <w:tab w:val="left" w:pos="783"/>
          <w:tab w:val="clear" w:pos="210"/>
        </w:tabs>
        <w:spacing w:line="240" w:lineRule="auto"/>
        <w:ind w:left="0" w:leftChars="0"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符合性响应证明材料：</w:t>
      </w:r>
    </w:p>
    <w:p>
      <w:pPr>
        <w:pStyle w:val="12"/>
        <w:numPr>
          <w:ilvl w:val="0"/>
          <w:numId w:val="6"/>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报价表</w:t>
      </w:r>
      <w:r>
        <w:rPr>
          <w:rFonts w:hint="eastAsia" w:ascii="仿宋" w:hAnsi="仿宋" w:eastAsia="仿宋" w:cs="仿宋"/>
          <w:b/>
          <w:color w:val="auto"/>
          <w:sz w:val="24"/>
          <w:highlight w:val="none"/>
        </w:rPr>
        <w:t>（必须提供）；</w:t>
      </w:r>
    </w:p>
    <w:p>
      <w:pPr>
        <w:pStyle w:val="12"/>
        <w:numPr>
          <w:ilvl w:val="0"/>
          <w:numId w:val="6"/>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项目理解与分析方案</w:t>
      </w:r>
      <w:r>
        <w:rPr>
          <w:rFonts w:hint="eastAsia" w:ascii="仿宋" w:hAnsi="仿宋" w:eastAsia="仿宋" w:cs="仿宋"/>
          <w:b/>
          <w:color w:val="auto"/>
          <w:sz w:val="24"/>
          <w:highlight w:val="none"/>
        </w:rPr>
        <w:t>；</w:t>
      </w:r>
    </w:p>
    <w:p>
      <w:pPr>
        <w:pStyle w:val="12"/>
        <w:numPr>
          <w:ilvl w:val="0"/>
          <w:numId w:val="6"/>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服务方案；</w:t>
      </w:r>
    </w:p>
    <w:p>
      <w:pPr>
        <w:pStyle w:val="12"/>
        <w:numPr>
          <w:ilvl w:val="0"/>
          <w:numId w:val="6"/>
        </w:numPr>
        <w:tabs>
          <w:tab w:val="left" w:pos="1080"/>
        </w:tabs>
        <w:topLinePunct w:val="0"/>
        <w:spacing w:line="240" w:lineRule="auto"/>
        <w:ind w:left="0" w:leftChars="0" w:firstLine="480" w:firstLineChars="200"/>
        <w:rPr>
          <w:rFonts w:hint="eastAsia" w:ascii="仿宋" w:hAnsi="仿宋" w:eastAsia="仿宋" w:cs="仿宋"/>
          <w:b w:val="0"/>
          <w:sz w:val="24"/>
        </w:rPr>
      </w:pPr>
      <w:r>
        <w:rPr>
          <w:rFonts w:hint="eastAsia" w:ascii="仿宋" w:hAnsi="仿宋" w:eastAsia="仿宋" w:cs="仿宋"/>
          <w:sz w:val="24"/>
        </w:rPr>
        <w:t>质量保障；</w:t>
      </w:r>
    </w:p>
    <w:p>
      <w:pPr>
        <w:pStyle w:val="12"/>
        <w:numPr>
          <w:ilvl w:val="0"/>
          <w:numId w:val="6"/>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服务承诺，</w:t>
      </w:r>
    </w:p>
    <w:p>
      <w:pPr>
        <w:pStyle w:val="12"/>
        <w:numPr>
          <w:ilvl w:val="0"/>
          <w:numId w:val="6"/>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企业信誉业绩：2024年1月1日以来供应商承接过类似项目前期咨询的证明文件</w:t>
      </w:r>
    </w:p>
    <w:p>
      <w:pPr>
        <w:pStyle w:val="12"/>
        <w:numPr>
          <w:ilvl w:val="0"/>
          <w:numId w:val="6"/>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履约能力相关证明材料复印件</w:t>
      </w:r>
    </w:p>
    <w:p>
      <w:pPr>
        <w:pStyle w:val="12"/>
        <w:numPr>
          <w:ilvl w:val="0"/>
          <w:numId w:val="4"/>
        </w:numPr>
        <w:tabs>
          <w:tab w:val="left" w:pos="783"/>
          <w:tab w:val="clear" w:pos="210"/>
        </w:tabs>
        <w:spacing w:line="240" w:lineRule="auto"/>
        <w:ind w:left="0" w:leftChars="0"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其他有效证明材料：</w:t>
      </w:r>
    </w:p>
    <w:p>
      <w:pPr>
        <w:pStyle w:val="12"/>
        <w:spacing w:line="240" w:lineRule="auto"/>
        <w:ind w:left="0" w:leftChars="0" w:firstLine="480" w:firstLineChars="200"/>
        <w:rPr>
          <w:rFonts w:hint="eastAsia" w:ascii="仿宋" w:hAnsi="仿宋" w:eastAsia="仿宋" w:cs="仿宋"/>
          <w:b/>
          <w:color w:val="auto"/>
          <w:sz w:val="24"/>
          <w:highlight w:val="none"/>
        </w:rPr>
      </w:pPr>
      <w:bookmarkStart w:id="2" w:name="OLE_LINK188"/>
      <w:r>
        <w:rPr>
          <w:rFonts w:hint="eastAsia" w:ascii="仿宋" w:hAnsi="仿宋" w:eastAsia="仿宋" w:cs="仿宋"/>
          <w:color w:val="auto"/>
          <w:sz w:val="24"/>
          <w:highlight w:val="none"/>
        </w:rPr>
        <w:t>供应商可结合本项目的评审办法视自身情况自行提交相关证明材料</w:t>
      </w:r>
      <w:r>
        <w:rPr>
          <w:rFonts w:hint="eastAsia" w:ascii="仿宋" w:hAnsi="仿宋" w:eastAsia="仿宋" w:cs="仿宋"/>
          <w:b/>
          <w:color w:val="auto"/>
          <w:sz w:val="24"/>
          <w:highlight w:val="none"/>
        </w:rPr>
        <w:t>（如有，请提供）。</w:t>
      </w:r>
    </w:p>
    <w:bookmarkEnd w:id="2"/>
    <w:p>
      <w:pPr>
        <w:pStyle w:val="12"/>
        <w:numPr>
          <w:ilvl w:val="0"/>
          <w:numId w:val="4"/>
        </w:numPr>
        <w:tabs>
          <w:tab w:val="left" w:pos="783"/>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供应商提供的上述相关证明材料必须真实有效，属于“必须提供”的必须加盖供应商公章（扫描公章无效）。</w:t>
      </w:r>
    </w:p>
    <w:p>
      <w:pPr>
        <w:pStyle w:val="12"/>
        <w:numPr>
          <w:ilvl w:val="0"/>
          <w:numId w:val="4"/>
        </w:numPr>
        <w:tabs>
          <w:tab w:val="left" w:pos="783"/>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响应文件份数：纸质响应文件正本一份，副本四份；响应文件电子版一份，须完整装袋并密封提交。供应商应按“第四点响应文件的格式”规定的顺序自编目录及页码。</w:t>
      </w:r>
    </w:p>
    <w:p>
      <w:pPr>
        <w:pStyle w:val="12"/>
        <w:numPr>
          <w:ilvl w:val="0"/>
          <w:numId w:val="4"/>
        </w:numPr>
        <w:tabs>
          <w:tab w:val="left" w:pos="783"/>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供应商提交的全部材料必须真实、完整、有效，严禁伪造、篡改、虚报任何材料。若核查发现存在虚假材料情形，我院将取消其本项目参与资格，3年内禁止该供应商参与本院所有采购、招投标项目，并依法追究相关法律责任。</w:t>
      </w:r>
    </w:p>
    <w:p>
      <w:pPr>
        <w:pStyle w:val="2"/>
        <w:numPr>
          <w:ilvl w:val="0"/>
          <w:numId w:val="3"/>
        </w:numPr>
        <w:tabs>
          <w:tab w:val="left" w:pos="963"/>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服务内容及要求</w:t>
      </w:r>
    </w:p>
    <w:p>
      <w:pPr>
        <w:pStyle w:val="3"/>
        <w:numPr>
          <w:ilvl w:val="0"/>
          <w:numId w:val="7"/>
        </w:numPr>
        <w:tabs>
          <w:tab w:val="left" w:pos="1204"/>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服务内容</w:t>
      </w:r>
    </w:p>
    <w:p>
      <w:pPr>
        <w:pStyle w:val="12"/>
        <w:numPr>
          <w:ilvl w:val="0"/>
          <w:numId w:val="8"/>
        </w:numPr>
        <w:tabs>
          <w:tab w:val="left" w:pos="780"/>
          <w:tab w:val="clear" w:pos="210"/>
        </w:tabs>
        <w:spacing w:line="240" w:lineRule="auto"/>
        <w:ind w:left="0" w:leftChars="0" w:firstLine="480" w:firstLineChars="200"/>
        <w:rPr>
          <w:rFonts w:hint="eastAsia" w:ascii="仿宋" w:hAnsi="仿宋" w:eastAsia="仿宋" w:cs="仿宋"/>
          <w:b w:val="0"/>
          <w:color w:val="FF0000"/>
          <w:sz w:val="24"/>
          <w:highlight w:val="none"/>
        </w:rPr>
      </w:pPr>
      <w:r>
        <w:rPr>
          <w:rFonts w:hint="eastAsia" w:ascii="仿宋" w:hAnsi="仿宋" w:eastAsia="仿宋" w:cs="仿宋"/>
          <w:color w:val="FF0000"/>
          <w:sz w:val="24"/>
          <w:highlight w:val="none"/>
        </w:rPr>
        <w:t>建设地点：桂林市中西医结合医院院内</w:t>
      </w:r>
    </w:p>
    <w:p>
      <w:pPr>
        <w:pStyle w:val="12"/>
        <w:numPr>
          <w:ilvl w:val="0"/>
          <w:numId w:val="8"/>
        </w:numPr>
        <w:tabs>
          <w:tab w:val="left" w:pos="780"/>
          <w:tab w:val="clear" w:pos="210"/>
        </w:tabs>
        <w:spacing w:line="240" w:lineRule="auto"/>
        <w:ind w:left="0" w:leftChars="0" w:firstLine="480" w:firstLineChars="200"/>
        <w:rPr>
          <w:rFonts w:hint="eastAsia" w:ascii="仿宋" w:hAnsi="仿宋" w:eastAsia="仿宋" w:cs="仿宋"/>
          <w:b w:val="0"/>
          <w:color w:val="FF0000"/>
          <w:sz w:val="24"/>
          <w:highlight w:val="none"/>
        </w:rPr>
      </w:pPr>
      <w:r>
        <w:rPr>
          <w:rFonts w:hint="eastAsia" w:ascii="仿宋" w:hAnsi="仿宋" w:eastAsia="仿宋" w:cs="仿宋"/>
          <w:color w:val="FF0000"/>
          <w:sz w:val="24"/>
          <w:highlight w:val="none"/>
        </w:rPr>
        <w:t>项目估算总投资：约5570万元</w:t>
      </w:r>
    </w:p>
    <w:p>
      <w:pPr>
        <w:pStyle w:val="3"/>
        <w:numPr>
          <w:ilvl w:val="0"/>
          <w:numId w:val="7"/>
        </w:numPr>
        <w:tabs>
          <w:tab w:val="left" w:pos="1204"/>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采购内容及服务范围</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桂林市中西医结合医院设备更新项目前期咨询服务，供应商为本项目提供前期咨询服务，本项目前期咨询服务内容具体包括：提级论证报告编制、事前绩效评估编制、可行性研究报告编制、可研报告评审。</w:t>
      </w:r>
    </w:p>
    <w:p>
      <w:pPr>
        <w:pStyle w:val="3"/>
        <w:numPr>
          <w:ilvl w:val="0"/>
          <w:numId w:val="7"/>
        </w:numPr>
        <w:tabs>
          <w:tab w:val="left" w:pos="1204"/>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服务工作日期</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编制提级论证报告5个自然日；编制事前绩效评估报告1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个自然日；编制可行性研究报告1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个自然日</w:t>
      </w:r>
      <w:r>
        <w:rPr>
          <w:rFonts w:hint="eastAsia" w:ascii="仿宋" w:hAnsi="仿宋" w:eastAsia="仿宋" w:cs="仿宋"/>
          <w:color w:val="auto"/>
          <w:sz w:val="24"/>
          <w:highlight w:val="none"/>
          <w:lang w:eastAsia="zh-CN"/>
        </w:rPr>
        <w:t>，评审可行性研究报告</w:t>
      </w:r>
      <w:r>
        <w:rPr>
          <w:rFonts w:hint="eastAsia" w:ascii="仿宋" w:hAnsi="仿宋" w:eastAsia="仿宋" w:cs="仿宋"/>
          <w:color w:val="auto"/>
          <w:sz w:val="24"/>
          <w:highlight w:val="none"/>
          <w:lang w:val="en-US" w:eastAsia="zh-CN"/>
        </w:rPr>
        <w:t>20个工作日</w:t>
      </w:r>
      <w:r>
        <w:rPr>
          <w:rFonts w:hint="eastAsia" w:ascii="仿宋" w:hAnsi="仿宋" w:eastAsia="仿宋" w:cs="仿宋"/>
          <w:color w:val="auto"/>
          <w:sz w:val="24"/>
          <w:highlight w:val="none"/>
        </w:rPr>
        <w:t>。</w:t>
      </w:r>
    </w:p>
    <w:p>
      <w:pPr>
        <w:pStyle w:val="3"/>
        <w:numPr>
          <w:ilvl w:val="0"/>
          <w:numId w:val="7"/>
        </w:numPr>
        <w:tabs>
          <w:tab w:val="left" w:pos="1204"/>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成果要求</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成果文件须符合国家、省、市相关规范标准及政府主管部门、审批部门的编制内容和深度要求，且通过评审及审批。</w:t>
      </w:r>
    </w:p>
    <w:p>
      <w:pPr>
        <w:pStyle w:val="3"/>
        <w:numPr>
          <w:ilvl w:val="0"/>
          <w:numId w:val="7"/>
        </w:numPr>
        <w:tabs>
          <w:tab w:val="left" w:pos="1204"/>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服务要求</w:t>
      </w:r>
    </w:p>
    <w:p>
      <w:pPr>
        <w:pStyle w:val="12"/>
        <w:numPr>
          <w:ilvl w:val="0"/>
          <w:numId w:val="9"/>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配合服务要求：供应商须指定专人作为项目联系人，保持与采购人的实时沟通，及时响应采购人的需求；在评审及报批阶段，须按要求派员参加汇报、答疑等工作，对评审意见的修改反馈须在约定时限内完成，修改过程中须严格遵循质量要求，确保修订后的成果质量达标。</w:t>
      </w:r>
    </w:p>
    <w:p>
      <w:pPr>
        <w:pStyle w:val="12"/>
        <w:numPr>
          <w:ilvl w:val="0"/>
          <w:numId w:val="9"/>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保密要求：供应商对在服务过程中获悉的采购人的商业秘密、技术秘密、项目相关资料及信息等承担保密义务，未经采购人书面同意，不得向任何第三方泄露，保密义务不因合同终止、解除而失效。</w:t>
      </w:r>
    </w:p>
    <w:p>
      <w:pPr>
        <w:pStyle w:val="12"/>
        <w:numPr>
          <w:ilvl w:val="0"/>
          <w:numId w:val="9"/>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成果交付形式：供应商于成交后将所有成果提供纸质装订本和电子文档，纸质装订本需按规范制作，一式陆份（另按需提供审批部门所需份数）；电子文档需提供 Word、PDF 格式（报告）JPG格式（图纸）。</w:t>
      </w:r>
    </w:p>
    <w:p>
      <w:pPr>
        <w:pStyle w:val="3"/>
        <w:widowControl/>
        <w:numPr>
          <w:ilvl w:val="0"/>
          <w:numId w:val="7"/>
        </w:numPr>
        <w:tabs>
          <w:tab w:val="left" w:pos="1204"/>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采购预算及报价要求</w:t>
      </w:r>
    </w:p>
    <w:p>
      <w:pPr>
        <w:pStyle w:val="12"/>
        <w:widowControl/>
        <w:numPr>
          <w:ilvl w:val="0"/>
          <w:numId w:val="10"/>
        </w:numPr>
        <w:pBdr>
          <w:top w:val="none" w:color="auto" w:sz="0" w:space="0"/>
          <w:left w:val="none" w:color="auto" w:sz="0" w:space="0"/>
          <w:bottom w:val="none" w:color="auto" w:sz="0" w:space="0"/>
          <w:right w:val="none" w:color="auto" w:sz="0" w:space="0"/>
        </w:pBd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本项目采购预算控制价为：</w:t>
      </w:r>
      <w:r>
        <w:rPr>
          <w:rFonts w:hint="eastAsia" w:ascii="仿宋" w:hAnsi="仿宋" w:eastAsia="仿宋" w:cs="仿宋"/>
          <w:b w:val="0"/>
          <w:color w:val="auto"/>
          <w:sz w:val="24"/>
          <w:highlight w:val="none"/>
          <w:lang w:eastAsia="zh-CN"/>
        </w:rPr>
        <w:t>陆</w:t>
      </w:r>
      <w:r>
        <w:rPr>
          <w:rFonts w:hint="eastAsia" w:ascii="仿宋" w:hAnsi="仿宋" w:eastAsia="仿宋" w:cs="仿宋"/>
          <w:b w:val="0"/>
          <w:color w:val="auto"/>
          <w:sz w:val="24"/>
          <w:highlight w:val="none"/>
        </w:rPr>
        <w:t>万</w:t>
      </w:r>
      <w:r>
        <w:rPr>
          <w:rFonts w:hint="eastAsia" w:ascii="仿宋" w:hAnsi="仿宋" w:eastAsia="仿宋" w:cs="仿宋"/>
          <w:b w:val="0"/>
          <w:color w:val="auto"/>
          <w:sz w:val="24"/>
          <w:highlight w:val="none"/>
          <w:lang w:eastAsia="zh-CN"/>
        </w:rPr>
        <w:t>叁</w:t>
      </w:r>
      <w:r>
        <w:rPr>
          <w:rFonts w:hint="eastAsia" w:ascii="仿宋" w:hAnsi="仿宋" w:eastAsia="仿宋" w:cs="仿宋"/>
          <w:b w:val="0"/>
          <w:color w:val="auto"/>
          <w:sz w:val="24"/>
          <w:highlight w:val="none"/>
        </w:rPr>
        <w:t>仟元整（¥</w:t>
      </w:r>
      <w:r>
        <w:rPr>
          <w:rFonts w:hint="eastAsia" w:ascii="仿宋" w:hAnsi="仿宋" w:eastAsia="仿宋" w:cs="仿宋"/>
          <w:b w:val="0"/>
          <w:color w:val="auto"/>
          <w:sz w:val="24"/>
          <w:highlight w:val="none"/>
          <w:lang w:val="en-US" w:eastAsia="zh-CN"/>
        </w:rPr>
        <w:t>63</w:t>
      </w:r>
      <w:r>
        <w:rPr>
          <w:rFonts w:hint="eastAsia" w:ascii="仿宋" w:hAnsi="仿宋" w:eastAsia="仿宋" w:cs="仿宋"/>
          <w:b w:val="0"/>
          <w:color w:val="auto"/>
          <w:sz w:val="24"/>
          <w:highlight w:val="none"/>
        </w:rPr>
        <w:t>000.00），供应商报价超出相应采购预算控制金额的，响应文件作无效处理。</w:t>
      </w:r>
    </w:p>
    <w:p>
      <w:pPr>
        <w:pStyle w:val="12"/>
        <w:widowControl/>
        <w:numPr>
          <w:ilvl w:val="0"/>
          <w:numId w:val="10"/>
        </w:numPr>
        <w:pBdr>
          <w:top w:val="none" w:color="auto" w:sz="0" w:space="0"/>
          <w:left w:val="none" w:color="auto" w:sz="0" w:space="0"/>
          <w:bottom w:val="none" w:color="auto" w:sz="0" w:space="0"/>
          <w:right w:val="none" w:color="auto" w:sz="0" w:space="0"/>
        </w:pBdr>
        <w:tabs>
          <w:tab w:val="left" w:pos="780"/>
          <w:tab w:val="clear" w:pos="210"/>
        </w:tabs>
        <w:spacing w:line="240" w:lineRule="auto"/>
        <w:ind w:left="0" w:leftChars="0" w:firstLine="482" w:firstLineChars="200"/>
        <w:rPr>
          <w:rFonts w:hint="eastAsia" w:ascii="仿宋" w:hAnsi="仿宋" w:eastAsia="仿宋" w:cs="仿宋"/>
          <w:b/>
          <w:bCs/>
          <w:color w:val="FF0000"/>
          <w:sz w:val="24"/>
          <w:highlight w:val="none"/>
        </w:rPr>
      </w:pPr>
      <w:r>
        <w:rPr>
          <w:rFonts w:hint="eastAsia" w:ascii="仿宋" w:hAnsi="仿宋" w:eastAsia="仿宋" w:cs="仿宋"/>
          <w:b/>
          <w:bCs/>
          <w:color w:val="FF0000"/>
          <w:sz w:val="24"/>
          <w:highlight w:val="none"/>
        </w:rPr>
        <w:t>供应商的报价是指完成本项目</w:t>
      </w:r>
      <w:r>
        <w:rPr>
          <w:rFonts w:hint="eastAsia" w:ascii="仿宋" w:hAnsi="仿宋" w:eastAsia="仿宋" w:cs="仿宋"/>
          <w:b/>
          <w:bCs/>
          <w:color w:val="FF0000"/>
          <w:sz w:val="24"/>
          <w:highlight w:val="none"/>
          <w:lang w:eastAsia="zh-CN"/>
        </w:rPr>
        <w:t>（</w:t>
      </w:r>
      <w:r>
        <w:rPr>
          <w:rFonts w:hint="eastAsia" w:ascii="仿宋" w:hAnsi="仿宋" w:eastAsia="仿宋" w:cs="仿宋"/>
          <w:b/>
          <w:bCs/>
          <w:color w:val="FF0000"/>
          <w:sz w:val="24"/>
          <w:highlight w:val="none"/>
          <w:lang w:val="en-US" w:eastAsia="zh-CN"/>
        </w:rPr>
        <w:t>至该项目申报完结</w:t>
      </w:r>
      <w:r>
        <w:rPr>
          <w:rFonts w:hint="eastAsia" w:ascii="仿宋" w:hAnsi="仿宋" w:eastAsia="仿宋" w:cs="仿宋"/>
          <w:b/>
          <w:bCs/>
          <w:color w:val="FF0000"/>
          <w:sz w:val="24"/>
          <w:highlight w:val="none"/>
          <w:lang w:eastAsia="zh-CN"/>
        </w:rPr>
        <w:t>）</w:t>
      </w:r>
      <w:r>
        <w:rPr>
          <w:rFonts w:hint="eastAsia" w:ascii="仿宋" w:hAnsi="仿宋" w:eastAsia="仿宋" w:cs="仿宋"/>
          <w:b/>
          <w:bCs/>
          <w:color w:val="FF0000"/>
          <w:sz w:val="24"/>
          <w:highlight w:val="none"/>
        </w:rPr>
        <w:t>全部采购需求所涉及的一切费用</w:t>
      </w:r>
      <w:r>
        <w:rPr>
          <w:rFonts w:hint="eastAsia" w:ascii="仿宋" w:hAnsi="仿宋" w:eastAsia="仿宋" w:cs="仿宋"/>
          <w:b/>
          <w:bCs/>
          <w:color w:val="FF0000"/>
          <w:sz w:val="24"/>
          <w:highlight w:val="none"/>
          <w:lang w:eastAsia="zh-CN"/>
        </w:rPr>
        <w:t>，</w:t>
      </w:r>
      <w:r>
        <w:rPr>
          <w:rFonts w:hint="eastAsia" w:ascii="仿宋" w:hAnsi="仿宋" w:eastAsia="仿宋" w:cs="仿宋"/>
          <w:b/>
          <w:bCs/>
          <w:color w:val="FF0000"/>
          <w:sz w:val="24"/>
          <w:highlight w:val="none"/>
        </w:rPr>
        <w:t>包括但不限于现场勘查、资料收集、调研分析费用，</w:t>
      </w:r>
      <w:r>
        <w:rPr>
          <w:rFonts w:hint="eastAsia" w:ascii="仿宋" w:hAnsi="仿宋" w:eastAsia="仿宋" w:cs="仿宋"/>
          <w:b/>
          <w:bCs/>
          <w:color w:val="FF0000"/>
          <w:sz w:val="24"/>
          <w:highlight w:val="none"/>
          <w:lang w:eastAsia="zh-CN"/>
        </w:rPr>
        <w:t>事前绩效评估报告</w:t>
      </w:r>
      <w:r>
        <w:rPr>
          <w:rFonts w:hint="eastAsia" w:ascii="仿宋" w:hAnsi="仿宋" w:eastAsia="仿宋" w:cs="仿宋"/>
          <w:b/>
          <w:bCs/>
          <w:color w:val="FF0000"/>
          <w:sz w:val="24"/>
          <w:highlight w:val="none"/>
        </w:rPr>
        <w:t>、提级论证报告</w:t>
      </w:r>
      <w:r>
        <w:rPr>
          <w:rFonts w:hint="eastAsia" w:ascii="仿宋" w:hAnsi="仿宋" w:eastAsia="仿宋" w:cs="仿宋"/>
          <w:b/>
          <w:bCs/>
          <w:color w:val="FF0000"/>
          <w:sz w:val="24"/>
          <w:highlight w:val="none"/>
          <w:lang w:eastAsia="zh-CN"/>
        </w:rPr>
        <w:t>、</w:t>
      </w:r>
      <w:r>
        <w:rPr>
          <w:rFonts w:hint="eastAsia" w:ascii="仿宋" w:hAnsi="仿宋" w:eastAsia="仿宋" w:cs="仿宋"/>
          <w:b/>
          <w:bCs/>
          <w:color w:val="FF0000"/>
          <w:sz w:val="24"/>
          <w:highlight w:val="none"/>
        </w:rPr>
        <w:t>可行性研究报告编制费用</w:t>
      </w:r>
      <w:r>
        <w:rPr>
          <w:rFonts w:hint="eastAsia" w:ascii="仿宋" w:hAnsi="仿宋" w:eastAsia="仿宋" w:cs="仿宋"/>
          <w:b/>
          <w:bCs/>
          <w:color w:val="FF0000"/>
          <w:sz w:val="24"/>
          <w:highlight w:val="none"/>
          <w:lang w:eastAsia="zh-CN"/>
        </w:rPr>
        <w:t>和可行性研究报告评审</w:t>
      </w:r>
      <w:r>
        <w:rPr>
          <w:rFonts w:hint="eastAsia" w:ascii="仿宋" w:hAnsi="仿宋" w:eastAsia="仿宋" w:cs="仿宋"/>
          <w:b/>
          <w:bCs/>
          <w:color w:val="FF0000"/>
          <w:sz w:val="24"/>
          <w:highlight w:val="none"/>
        </w:rPr>
        <w:t>以及配合编制报告所需资料、成果修改完善、纸质及电子成果制作、人员差旅、税金等费用，供应商应综合考虑在报价中。在合同实施时，采购人将不予支付供应商没有列入的项目费用，并认为此项目的费用已包括在报价中。</w:t>
      </w:r>
    </w:p>
    <w:p>
      <w:pPr>
        <w:pStyle w:val="12"/>
        <w:numPr>
          <w:ilvl w:val="0"/>
          <w:numId w:val="10"/>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响应文件只允许有一个报价方案，不接受缺漏项报价或有选择的或有条件的报价，否则，响应文件按无效处理。</w:t>
      </w:r>
    </w:p>
    <w:p>
      <w:pPr>
        <w:pStyle w:val="3"/>
        <w:widowControl/>
        <w:numPr>
          <w:ilvl w:val="0"/>
          <w:numId w:val="7"/>
        </w:numPr>
        <w:tabs>
          <w:tab w:val="left" w:pos="1204"/>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付款方式：</w:t>
      </w:r>
    </w:p>
    <w:p>
      <w:pPr>
        <w:pStyle w:val="12"/>
        <w:numPr>
          <w:ilvl w:val="0"/>
          <w:numId w:val="11"/>
        </w:numPr>
        <w:tabs>
          <w:tab w:val="left" w:pos="780"/>
          <w:tab w:val="clear" w:pos="210"/>
        </w:tabs>
        <w:spacing w:line="240" w:lineRule="auto"/>
        <w:ind w:left="0" w:leftChars="0" w:firstLine="480" w:firstLineChars="200"/>
        <w:rPr>
          <w:rFonts w:hint="eastAsia" w:ascii="仿宋" w:hAnsi="仿宋" w:eastAsia="仿宋" w:cs="仿宋"/>
          <w:b w:val="0"/>
          <w:color w:val="FF0000"/>
          <w:sz w:val="24"/>
          <w:highlight w:val="none"/>
        </w:rPr>
      </w:pPr>
      <w:r>
        <w:rPr>
          <w:rFonts w:hint="eastAsia" w:ascii="仿宋" w:hAnsi="仿宋" w:eastAsia="仿宋" w:cs="仿宋"/>
          <w:color w:val="FF0000"/>
          <w:sz w:val="24"/>
          <w:highlight w:val="none"/>
        </w:rPr>
        <w:t>合同签订生效后，成交供应商按合同约定交付资料（含电子版）给委托人，</w:t>
      </w:r>
      <w:r>
        <w:rPr>
          <w:rFonts w:hint="eastAsia" w:ascii="仿宋" w:hAnsi="仿宋" w:eastAsia="仿宋" w:cs="仿宋"/>
          <w:color w:val="FF0000"/>
          <w:sz w:val="24"/>
          <w:highlight w:val="none"/>
          <w:lang w:eastAsia="zh-CN"/>
        </w:rPr>
        <w:t>按</w:t>
      </w:r>
      <w:r>
        <w:rPr>
          <w:rFonts w:hint="eastAsia" w:ascii="仿宋" w:hAnsi="仿宋" w:eastAsia="仿宋" w:cs="仿宋"/>
          <w:color w:val="FF0000"/>
          <w:sz w:val="24"/>
          <w:highlight w:val="none"/>
        </w:rPr>
        <w:t>取得政府主管部门正式批复文件后，</w:t>
      </w:r>
      <w:r>
        <w:rPr>
          <w:rFonts w:hint="eastAsia" w:ascii="仿宋" w:hAnsi="仿宋" w:eastAsia="仿宋" w:cs="仿宋"/>
          <w:color w:val="FF0000"/>
          <w:sz w:val="24"/>
          <w:highlight w:val="none"/>
          <w:lang w:eastAsia="zh-CN"/>
        </w:rPr>
        <w:t>委托人按交付成果支付服务费给乙方，</w:t>
      </w:r>
      <w:r>
        <w:rPr>
          <w:rFonts w:hint="eastAsia" w:ascii="仿宋" w:hAnsi="仿宋" w:eastAsia="仿宋" w:cs="仿宋"/>
          <w:color w:val="FF0000"/>
          <w:sz w:val="24"/>
          <w:highlight w:val="none"/>
        </w:rPr>
        <w:t>成交供应商向采购人提供合法有效发票，采购人通过银行转账支付。</w:t>
      </w:r>
    </w:p>
    <w:p>
      <w:pPr>
        <w:pStyle w:val="12"/>
        <w:numPr>
          <w:ilvl w:val="0"/>
          <w:numId w:val="11"/>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因成交供应商提交的报告不符合要求而不能通过主管部门审批时，由成交供应商负责修改（相关的费用包含在磋商报价中，采购人不再另行支付），直至获得主管部门审批为止</w:t>
      </w:r>
      <w:r>
        <w:rPr>
          <w:rFonts w:hint="eastAsia" w:ascii="仿宋" w:hAnsi="仿宋" w:eastAsia="仿宋" w:cs="仿宋"/>
          <w:color w:val="auto"/>
          <w:sz w:val="24"/>
          <w:highlight w:val="none"/>
          <w:lang w:eastAsia="zh-CN"/>
        </w:rPr>
        <w:t>。</w:t>
      </w:r>
    </w:p>
    <w:p>
      <w:pPr>
        <w:pStyle w:val="2"/>
        <w:numPr>
          <w:ilvl w:val="0"/>
          <w:numId w:val="3"/>
        </w:numPr>
        <w:tabs>
          <w:tab w:val="left" w:pos="963"/>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评审办法</w:t>
      </w:r>
    </w:p>
    <w:p>
      <w:pPr>
        <w:pStyle w:val="3"/>
        <w:numPr>
          <w:ilvl w:val="0"/>
          <w:numId w:val="12"/>
        </w:numPr>
        <w:tabs>
          <w:tab w:val="left" w:pos="1204"/>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评审依据及方式</w:t>
      </w:r>
    </w:p>
    <w:p>
      <w:pPr>
        <w:pStyle w:val="12"/>
        <w:numPr>
          <w:ilvl w:val="0"/>
          <w:numId w:val="13"/>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评审依据：评审小组以评审文件和响应文件为评审依据，对供应商的响应文件进行评审。</w:t>
      </w:r>
    </w:p>
    <w:p>
      <w:pPr>
        <w:pStyle w:val="12"/>
        <w:numPr>
          <w:ilvl w:val="0"/>
          <w:numId w:val="13"/>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评审方式：以封闭方式进行评审。</w:t>
      </w:r>
    </w:p>
    <w:p>
      <w:pPr>
        <w:pStyle w:val="3"/>
        <w:numPr>
          <w:ilvl w:val="0"/>
          <w:numId w:val="12"/>
        </w:numPr>
        <w:tabs>
          <w:tab w:val="left" w:pos="1204"/>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评审办法</w:t>
      </w:r>
    </w:p>
    <w:p>
      <w:pPr>
        <w:pStyle w:val="12"/>
        <w:numPr>
          <w:ilvl w:val="0"/>
          <w:numId w:val="14"/>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对进入详评的，采用综合评分法。</w:t>
      </w:r>
    </w:p>
    <w:p>
      <w:pPr>
        <w:pStyle w:val="12"/>
        <w:numPr>
          <w:ilvl w:val="0"/>
          <w:numId w:val="14"/>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计分办法（按四舍五入取至小数点后两位）</w:t>
      </w:r>
    </w:p>
    <w:tbl>
      <w:tblPr>
        <w:tblStyle w:val="18"/>
        <w:tblW w:w="510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3"/>
        <w:gridCol w:w="1440"/>
        <w:gridCol w:w="1428"/>
        <w:gridCol w:w="67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333" w:type="pct"/>
            <w:noWrap w:val="0"/>
            <w:vAlign w:val="center"/>
          </w:tcPr>
          <w:p>
            <w:pPr>
              <w:pStyle w:val="22"/>
              <w:adjustRightInd/>
              <w:snapToGrid/>
              <w:spacing w:before="36" w:line="240" w:lineRule="auto"/>
              <w:ind w:left="105" w:leftChars="50"/>
              <w:jc w:val="center"/>
              <w:rPr>
                <w:rFonts w:hint="eastAsia" w:ascii="仿宋" w:hAnsi="仿宋" w:eastAsia="仿宋" w:cs="仿宋"/>
                <w:b/>
                <w:color w:val="auto"/>
              </w:rPr>
            </w:pPr>
            <w:r>
              <w:rPr>
                <w:rFonts w:hint="eastAsia" w:ascii="仿宋" w:hAnsi="仿宋" w:eastAsia="仿宋" w:cs="仿宋"/>
                <w:b/>
                <w:color w:val="auto"/>
                <w:spacing w:val="6"/>
              </w:rPr>
              <w:t>序号</w:t>
            </w:r>
          </w:p>
        </w:tc>
        <w:tc>
          <w:tcPr>
            <w:tcW w:w="702" w:type="pct"/>
            <w:noWrap w:val="0"/>
            <w:vAlign w:val="center"/>
          </w:tcPr>
          <w:p>
            <w:pPr>
              <w:pStyle w:val="22"/>
              <w:adjustRightInd/>
              <w:snapToGrid/>
              <w:spacing w:before="36" w:line="240" w:lineRule="auto"/>
              <w:ind w:left="105" w:leftChars="50"/>
              <w:jc w:val="center"/>
              <w:rPr>
                <w:rFonts w:hint="eastAsia" w:ascii="仿宋" w:hAnsi="仿宋" w:eastAsia="仿宋" w:cs="仿宋"/>
                <w:b/>
                <w:color w:val="auto"/>
              </w:rPr>
            </w:pPr>
            <w:r>
              <w:rPr>
                <w:rFonts w:hint="eastAsia" w:ascii="仿宋" w:hAnsi="仿宋" w:eastAsia="仿宋" w:cs="仿宋"/>
                <w:b/>
                <w:color w:val="auto"/>
                <w:spacing w:val="8"/>
              </w:rPr>
              <w:t>评审因素</w:t>
            </w:r>
          </w:p>
        </w:tc>
        <w:tc>
          <w:tcPr>
            <w:tcW w:w="3964" w:type="pct"/>
            <w:gridSpan w:val="2"/>
            <w:noWrap w:val="0"/>
            <w:vAlign w:val="center"/>
          </w:tcPr>
          <w:p>
            <w:pPr>
              <w:spacing w:line="240" w:lineRule="auto"/>
              <w:ind w:firstLine="422" w:firstLineChars="200"/>
              <w:jc w:val="center"/>
              <w:rPr>
                <w:rFonts w:hint="eastAsia" w:ascii="仿宋" w:hAnsi="仿宋" w:eastAsia="仿宋" w:cs="仿宋"/>
                <w:b/>
                <w:lang w:eastAsia="zh-CN"/>
              </w:rPr>
            </w:pPr>
            <w:r>
              <w:rPr>
                <w:rFonts w:hint="eastAsia" w:ascii="仿宋" w:hAnsi="仿宋" w:eastAsia="仿宋" w:cs="仿宋"/>
                <w:b/>
                <w:lang w:eastAsia="zh-CN"/>
              </w:rPr>
              <w:t>评审内容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9" w:hRule="atLeast"/>
        </w:trPr>
        <w:tc>
          <w:tcPr>
            <w:tcW w:w="333" w:type="pct"/>
            <w:noWrap w:val="0"/>
            <w:vAlign w:val="center"/>
          </w:tcPr>
          <w:p>
            <w:pPr>
              <w:pStyle w:val="22"/>
              <w:adjustRightInd/>
              <w:snapToGrid/>
              <w:spacing w:before="36" w:line="240" w:lineRule="auto"/>
              <w:ind w:left="105" w:leftChars="50"/>
              <w:jc w:val="center"/>
              <w:rPr>
                <w:rFonts w:hint="eastAsia" w:ascii="仿宋" w:hAnsi="仿宋" w:eastAsia="仿宋" w:cs="仿宋"/>
                <w:b/>
                <w:color w:val="auto"/>
                <w:spacing w:val="6"/>
                <w:lang w:eastAsia="zh-CN"/>
              </w:rPr>
            </w:pPr>
            <w:r>
              <w:rPr>
                <w:rFonts w:hint="eastAsia" w:ascii="仿宋" w:hAnsi="仿宋" w:eastAsia="仿宋" w:cs="仿宋"/>
                <w:b/>
                <w:color w:val="auto"/>
                <w:spacing w:val="6"/>
                <w:lang w:eastAsia="zh-CN"/>
              </w:rPr>
              <w:t>1</w:t>
            </w:r>
          </w:p>
        </w:tc>
        <w:tc>
          <w:tcPr>
            <w:tcW w:w="702" w:type="pct"/>
            <w:noWrap w:val="0"/>
            <w:vAlign w:val="center"/>
          </w:tcPr>
          <w:p>
            <w:pPr>
              <w:spacing w:line="240" w:lineRule="auto"/>
              <w:jc w:val="center"/>
              <w:rPr>
                <w:rFonts w:hint="eastAsia" w:ascii="仿宋" w:hAnsi="仿宋" w:eastAsia="仿宋" w:cs="仿宋"/>
                <w:b/>
              </w:rPr>
            </w:pPr>
            <w:r>
              <w:rPr>
                <w:rFonts w:hint="eastAsia" w:ascii="仿宋" w:hAnsi="仿宋" w:eastAsia="仿宋" w:cs="仿宋"/>
                <w:b/>
              </w:rPr>
              <w:t>报价分</w:t>
            </w:r>
          </w:p>
          <w:p>
            <w:pPr>
              <w:pStyle w:val="22"/>
              <w:adjustRightInd/>
              <w:snapToGrid/>
              <w:spacing w:before="36" w:line="240" w:lineRule="auto"/>
              <w:ind w:left="105" w:leftChars="50"/>
              <w:jc w:val="center"/>
              <w:rPr>
                <w:rFonts w:hint="eastAsia" w:ascii="仿宋" w:hAnsi="仿宋" w:eastAsia="仿宋" w:cs="仿宋"/>
                <w:b/>
                <w:color w:val="auto"/>
                <w:spacing w:val="8"/>
              </w:rPr>
            </w:pPr>
            <w:r>
              <w:rPr>
                <w:rFonts w:hint="eastAsia" w:ascii="仿宋" w:hAnsi="仿宋" w:eastAsia="仿宋" w:cs="仿宋"/>
                <w:b/>
                <w:color w:val="auto"/>
              </w:rPr>
              <w:t>（满分</w:t>
            </w:r>
            <w:r>
              <w:rPr>
                <w:rFonts w:hint="eastAsia" w:ascii="仿宋" w:hAnsi="仿宋" w:eastAsia="仿宋" w:cs="仿宋"/>
                <w:b/>
                <w:color w:val="auto"/>
                <w:lang w:val="en-US" w:eastAsia="zh-CN"/>
              </w:rPr>
              <w:t>30</w:t>
            </w:r>
            <w:r>
              <w:rPr>
                <w:rFonts w:hint="eastAsia" w:ascii="仿宋" w:hAnsi="仿宋" w:eastAsia="仿宋" w:cs="仿宋"/>
                <w:b/>
                <w:color w:val="auto"/>
              </w:rPr>
              <w:t>分）</w:t>
            </w:r>
          </w:p>
        </w:tc>
        <w:tc>
          <w:tcPr>
            <w:tcW w:w="3964" w:type="pct"/>
            <w:gridSpan w:val="2"/>
            <w:noWrap w:val="0"/>
            <w:vAlign w:val="center"/>
          </w:tcPr>
          <w:p>
            <w:pPr>
              <w:spacing w:line="240" w:lineRule="auto"/>
              <w:ind w:left="42" w:leftChars="20" w:right="42" w:rightChars="20"/>
              <w:rPr>
                <w:rFonts w:hint="eastAsia" w:ascii="仿宋" w:hAnsi="仿宋" w:eastAsia="仿宋" w:cs="仿宋"/>
                <w:bCs/>
                <w:kern w:val="0"/>
              </w:rPr>
            </w:pPr>
            <w:r>
              <w:rPr>
                <w:rFonts w:hint="eastAsia" w:ascii="仿宋" w:hAnsi="仿宋" w:eastAsia="仿宋" w:cs="仿宋"/>
                <w:kern w:val="0"/>
              </w:rPr>
              <w:t>1.以进入详评的且最后报价最低的供应商的价格为</w:t>
            </w:r>
            <w:r>
              <w:rPr>
                <w:rFonts w:hint="eastAsia" w:ascii="仿宋" w:hAnsi="仿宋" w:eastAsia="仿宋" w:cs="仿宋"/>
                <w:kern w:val="0"/>
                <w:lang w:eastAsia="zh-CN"/>
              </w:rPr>
              <w:t>评审</w:t>
            </w:r>
            <w:r>
              <w:rPr>
                <w:rFonts w:hint="eastAsia" w:ascii="仿宋" w:hAnsi="仿宋" w:eastAsia="仿宋" w:cs="仿宋"/>
                <w:kern w:val="0"/>
              </w:rPr>
              <w:t>基准价，其价格分为</w:t>
            </w:r>
            <w:r>
              <w:rPr>
                <w:rFonts w:hint="eastAsia" w:ascii="仿宋" w:hAnsi="仿宋" w:eastAsia="仿宋" w:cs="仿宋"/>
                <w:kern w:val="0"/>
                <w:lang w:val="en-US" w:eastAsia="zh-CN"/>
              </w:rPr>
              <w:t>30</w:t>
            </w:r>
            <w:r>
              <w:rPr>
                <w:rFonts w:hint="eastAsia" w:ascii="仿宋" w:hAnsi="仿宋" w:eastAsia="仿宋" w:cs="仿宋"/>
                <w:kern w:val="0"/>
              </w:rPr>
              <w:t>分；</w:t>
            </w:r>
          </w:p>
          <w:p>
            <w:pPr>
              <w:spacing w:line="240" w:lineRule="auto"/>
              <w:ind w:left="42" w:leftChars="20" w:right="42" w:rightChars="20"/>
              <w:rPr>
                <w:rFonts w:hint="eastAsia" w:ascii="仿宋" w:hAnsi="仿宋" w:eastAsia="仿宋" w:cs="仿宋"/>
                <w:kern w:val="0"/>
              </w:rPr>
            </w:pPr>
            <w:r>
              <w:rPr>
                <w:rFonts w:hint="eastAsia" w:ascii="仿宋" w:hAnsi="仿宋" w:eastAsia="仿宋" w:cs="仿宋"/>
                <w:kern w:val="0"/>
              </w:rPr>
              <w:t>2.供应商报价得分=（</w:t>
            </w:r>
            <w:r>
              <w:rPr>
                <w:rFonts w:hint="eastAsia" w:ascii="仿宋" w:hAnsi="仿宋" w:eastAsia="仿宋" w:cs="仿宋"/>
                <w:kern w:val="0"/>
                <w:lang w:eastAsia="zh-CN"/>
              </w:rPr>
              <w:t>评审</w:t>
            </w:r>
            <w:r>
              <w:rPr>
                <w:rFonts w:hint="eastAsia" w:ascii="仿宋" w:hAnsi="仿宋" w:eastAsia="仿宋" w:cs="仿宋"/>
                <w:kern w:val="0"/>
              </w:rPr>
              <w:t>基准价/最后报价）×</w:t>
            </w:r>
            <w:r>
              <w:rPr>
                <w:rFonts w:hint="eastAsia" w:ascii="仿宋" w:hAnsi="仿宋" w:eastAsia="仿宋" w:cs="仿宋"/>
                <w:kern w:val="0"/>
                <w:lang w:val="en-US" w:eastAsia="zh-CN"/>
              </w:rPr>
              <w:t>30</w:t>
            </w:r>
            <w:r>
              <w:rPr>
                <w:rFonts w:hint="eastAsia" w:ascii="仿宋" w:hAnsi="仿宋" w:eastAsia="仿宋" w:cs="仿宋"/>
                <w:kern w:val="0"/>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33" w:type="pct"/>
            <w:vMerge w:val="restart"/>
            <w:noWrap w:val="0"/>
            <w:vAlign w:val="center"/>
          </w:tcPr>
          <w:p>
            <w:pPr>
              <w:pStyle w:val="22"/>
              <w:adjustRightInd/>
              <w:snapToGrid/>
              <w:spacing w:before="36" w:line="240" w:lineRule="auto"/>
              <w:ind w:left="105" w:leftChars="50"/>
              <w:jc w:val="center"/>
              <w:rPr>
                <w:rFonts w:hint="eastAsia" w:ascii="仿宋" w:hAnsi="仿宋" w:eastAsia="仿宋" w:cs="仿宋"/>
                <w:b/>
                <w:color w:val="auto"/>
                <w:spacing w:val="6"/>
                <w:lang w:eastAsia="zh-CN"/>
              </w:rPr>
            </w:pPr>
            <w:r>
              <w:rPr>
                <w:rFonts w:hint="eastAsia" w:ascii="仿宋" w:hAnsi="仿宋" w:eastAsia="仿宋" w:cs="仿宋"/>
                <w:b/>
                <w:color w:val="auto"/>
                <w:spacing w:val="6"/>
                <w:lang w:eastAsia="zh-CN"/>
              </w:rPr>
              <w:t>2</w:t>
            </w:r>
          </w:p>
        </w:tc>
        <w:tc>
          <w:tcPr>
            <w:tcW w:w="702" w:type="pct"/>
            <w:vMerge w:val="restart"/>
            <w:noWrap w:val="0"/>
            <w:vAlign w:val="center"/>
          </w:tcPr>
          <w:p>
            <w:pPr>
              <w:pStyle w:val="22"/>
              <w:adjustRightInd/>
              <w:snapToGrid/>
              <w:spacing w:before="36" w:line="240" w:lineRule="auto"/>
              <w:ind w:left="105" w:leftChars="50"/>
              <w:jc w:val="center"/>
              <w:rPr>
                <w:rFonts w:hint="eastAsia" w:ascii="仿宋" w:hAnsi="仿宋" w:eastAsia="仿宋" w:cs="仿宋"/>
                <w:b/>
                <w:color w:val="auto"/>
                <w:lang w:eastAsia="zh-CN"/>
              </w:rPr>
            </w:pPr>
            <w:r>
              <w:rPr>
                <w:rFonts w:hint="eastAsia" w:ascii="仿宋" w:hAnsi="仿宋" w:eastAsia="仿宋" w:cs="仿宋"/>
                <w:b/>
                <w:color w:val="auto"/>
                <w:lang w:eastAsia="zh-CN"/>
              </w:rPr>
              <w:t>技术方案分</w:t>
            </w:r>
          </w:p>
          <w:p>
            <w:pPr>
              <w:pStyle w:val="22"/>
              <w:adjustRightInd/>
              <w:snapToGrid/>
              <w:spacing w:before="36" w:line="240" w:lineRule="auto"/>
              <w:ind w:left="105" w:leftChars="50"/>
              <w:jc w:val="center"/>
              <w:rPr>
                <w:rFonts w:hint="eastAsia" w:ascii="仿宋" w:hAnsi="仿宋" w:eastAsia="仿宋" w:cs="仿宋"/>
                <w:b/>
                <w:color w:val="auto"/>
              </w:rPr>
            </w:pPr>
            <w:r>
              <w:rPr>
                <w:rFonts w:hint="eastAsia" w:ascii="仿宋" w:hAnsi="仿宋" w:eastAsia="仿宋" w:cs="仿宋"/>
                <w:b/>
                <w:color w:val="auto"/>
              </w:rPr>
              <w:t>（满分</w:t>
            </w:r>
            <w:r>
              <w:rPr>
                <w:rFonts w:hint="eastAsia" w:ascii="仿宋" w:hAnsi="仿宋" w:eastAsia="仿宋" w:cs="仿宋"/>
                <w:b/>
                <w:color w:val="auto"/>
                <w:lang w:val="en-US" w:eastAsia="zh-CN"/>
              </w:rPr>
              <w:t>48</w:t>
            </w:r>
            <w:r>
              <w:rPr>
                <w:rFonts w:hint="eastAsia" w:ascii="仿宋" w:hAnsi="仿宋" w:eastAsia="仿宋" w:cs="仿宋"/>
                <w:b/>
                <w:color w:val="auto"/>
              </w:rPr>
              <w:t>分）</w:t>
            </w:r>
          </w:p>
        </w:tc>
        <w:tc>
          <w:tcPr>
            <w:tcW w:w="696" w:type="pct"/>
            <w:tcBorders>
              <w:right w:val="single" w:color="auto" w:sz="4" w:space="0"/>
            </w:tcBorders>
            <w:noWrap w:val="0"/>
            <w:vAlign w:val="center"/>
          </w:tcPr>
          <w:p>
            <w:pPr>
              <w:spacing w:line="240" w:lineRule="auto"/>
              <w:jc w:val="center"/>
              <w:rPr>
                <w:rFonts w:hint="eastAsia" w:ascii="仿宋" w:hAnsi="仿宋" w:eastAsia="仿宋" w:cs="仿宋"/>
                <w:b/>
              </w:rPr>
            </w:pPr>
            <w:r>
              <w:rPr>
                <w:rFonts w:hint="eastAsia" w:ascii="仿宋" w:hAnsi="仿宋" w:eastAsia="仿宋" w:cs="仿宋"/>
                <w:b/>
                <w:bCs/>
                <w:color w:val="auto"/>
                <w:szCs w:val="21"/>
                <w:highlight w:val="none"/>
              </w:rPr>
              <w:t>项目理解与分析</w:t>
            </w:r>
            <w:r>
              <w:rPr>
                <w:rFonts w:hint="eastAsia" w:ascii="仿宋" w:hAnsi="仿宋" w:eastAsia="仿宋" w:cs="仿宋"/>
                <w:b/>
                <w:bCs/>
                <w:color w:val="auto"/>
                <w:szCs w:val="21"/>
                <w:highlight w:val="none"/>
                <w:lang w:eastAsia="zh-CN"/>
              </w:rPr>
              <w:t>方案分</w:t>
            </w:r>
          </w:p>
          <w:p>
            <w:pPr>
              <w:spacing w:line="240" w:lineRule="auto"/>
              <w:jc w:val="center"/>
              <w:rPr>
                <w:rFonts w:hint="eastAsia" w:ascii="仿宋" w:hAnsi="仿宋" w:eastAsia="仿宋" w:cs="仿宋"/>
              </w:rPr>
            </w:pPr>
            <w:r>
              <w:rPr>
                <w:rFonts w:hint="eastAsia" w:ascii="仿宋" w:hAnsi="仿宋" w:eastAsia="仿宋" w:cs="仿宋"/>
                <w:b/>
                <w:bCs/>
              </w:rPr>
              <w:t>（</w:t>
            </w:r>
            <w:r>
              <w:rPr>
                <w:rFonts w:hint="eastAsia" w:ascii="仿宋" w:hAnsi="仿宋" w:eastAsia="仿宋" w:cs="仿宋"/>
                <w:b/>
                <w:bCs/>
                <w:lang w:val="en-US" w:eastAsia="zh-CN"/>
              </w:rPr>
              <w:t>12</w:t>
            </w:r>
            <w:r>
              <w:rPr>
                <w:rFonts w:hint="eastAsia" w:ascii="仿宋" w:hAnsi="仿宋" w:eastAsia="仿宋" w:cs="仿宋"/>
                <w:b/>
                <w:bCs/>
              </w:rPr>
              <w:t>分）</w:t>
            </w:r>
          </w:p>
        </w:tc>
        <w:tc>
          <w:tcPr>
            <w:tcW w:w="3267" w:type="pct"/>
            <w:tcBorders>
              <w:left w:val="single" w:color="auto" w:sz="4" w:space="0"/>
            </w:tcBorders>
            <w:noWrap w:val="0"/>
            <w:vAlign w:val="center"/>
          </w:tcPr>
          <w:p>
            <w:pPr>
              <w:spacing w:line="240" w:lineRule="auto"/>
              <w:ind w:left="42" w:leftChars="20" w:right="42" w:rightChars="20"/>
              <w:rPr>
                <w:rFonts w:hint="eastAsia" w:ascii="仿宋" w:hAnsi="仿宋" w:eastAsia="仿宋" w:cs="仿宋"/>
              </w:rPr>
            </w:pPr>
            <w:r>
              <w:rPr>
                <w:rFonts w:hint="eastAsia" w:ascii="仿宋" w:hAnsi="仿宋" w:eastAsia="仿宋" w:cs="仿宋"/>
              </w:rPr>
              <w:t>一</w:t>
            </w:r>
            <w:r>
              <w:rPr>
                <w:rFonts w:hint="eastAsia" w:ascii="仿宋" w:hAnsi="仿宋" w:eastAsia="仿宋" w:cs="仿宋"/>
                <w:b w:val="0"/>
                <w:bCs/>
                <w:color w:val="auto"/>
                <w:szCs w:val="21"/>
                <w:highlight w:val="none"/>
                <w:lang w:val="en-GB"/>
              </w:rPr>
              <w:t>档（</w:t>
            </w:r>
            <w:r>
              <w:rPr>
                <w:rFonts w:hint="eastAsia" w:ascii="仿宋" w:hAnsi="仿宋" w:eastAsia="仿宋" w:cs="仿宋"/>
                <w:b w:val="0"/>
                <w:bCs/>
                <w:color w:val="auto"/>
                <w:szCs w:val="21"/>
                <w:highlight w:val="none"/>
                <w:lang w:val="en-US" w:eastAsia="zh-CN"/>
              </w:rPr>
              <w:t>4</w:t>
            </w:r>
            <w:r>
              <w:rPr>
                <w:rFonts w:hint="eastAsia" w:ascii="仿宋" w:hAnsi="仿宋" w:eastAsia="仿宋" w:cs="仿宋"/>
                <w:b w:val="0"/>
                <w:bCs/>
                <w:color w:val="auto"/>
                <w:szCs w:val="21"/>
                <w:highlight w:val="none"/>
                <w:lang w:val="en-GB"/>
              </w:rPr>
              <w:t>分）：对项目背景、建设意义理解有偏差，未</w:t>
            </w:r>
            <w:r>
              <w:rPr>
                <w:rFonts w:hint="eastAsia" w:ascii="仿宋" w:hAnsi="仿宋" w:eastAsia="仿宋" w:cs="仿宋"/>
                <w:b w:val="0"/>
                <w:bCs/>
                <w:color w:val="auto"/>
                <w:szCs w:val="21"/>
                <w:highlight w:val="none"/>
                <w:lang w:val="en-GB" w:eastAsia="zh-CN"/>
              </w:rPr>
              <w:t>针对项目建设地</w:t>
            </w:r>
            <w:r>
              <w:rPr>
                <w:rFonts w:hint="eastAsia" w:ascii="仿宋" w:hAnsi="仿宋" w:eastAsia="仿宋" w:cs="仿宋"/>
                <w:b w:val="0"/>
                <w:bCs/>
                <w:color w:val="auto"/>
                <w:szCs w:val="21"/>
                <w:highlight w:val="none"/>
                <w:lang w:val="en-GB"/>
              </w:rPr>
              <w:t>政策</w:t>
            </w:r>
            <w:r>
              <w:rPr>
                <w:rFonts w:hint="eastAsia" w:ascii="仿宋" w:hAnsi="仿宋" w:eastAsia="仿宋" w:cs="仿宋"/>
                <w:b w:val="0"/>
                <w:bCs/>
                <w:color w:val="auto"/>
                <w:szCs w:val="21"/>
                <w:highlight w:val="none"/>
                <w:lang w:val="en-GB" w:eastAsia="zh-CN"/>
              </w:rPr>
              <w:t>的实施</w:t>
            </w:r>
            <w:r>
              <w:rPr>
                <w:rFonts w:hint="eastAsia" w:ascii="仿宋" w:hAnsi="仿宋" w:eastAsia="仿宋" w:cs="仿宋"/>
                <w:b w:val="0"/>
                <w:bCs/>
                <w:color w:val="auto"/>
                <w:szCs w:val="21"/>
                <w:highlight w:val="none"/>
                <w:lang w:val="en-GB"/>
              </w:rPr>
              <w:t>及院区实际，</w:t>
            </w:r>
            <w:r>
              <w:rPr>
                <w:rFonts w:hint="eastAsia" w:ascii="仿宋" w:hAnsi="仿宋" w:eastAsia="仿宋" w:cs="仿宋"/>
                <w:b w:val="0"/>
                <w:bCs/>
                <w:color w:val="auto"/>
                <w:szCs w:val="21"/>
                <w:highlight w:val="none"/>
                <w:lang w:val="en-US" w:eastAsia="zh-CN"/>
              </w:rPr>
              <w:t>对项目的认识和理解不全面</w:t>
            </w:r>
            <w:r>
              <w:rPr>
                <w:rFonts w:hint="eastAsia" w:ascii="仿宋" w:hAnsi="仿宋" w:eastAsia="仿宋" w:cs="仿宋"/>
              </w:rPr>
              <w:t>；</w:t>
            </w:r>
          </w:p>
          <w:p>
            <w:pPr>
              <w:spacing w:line="240" w:lineRule="auto"/>
              <w:ind w:left="42" w:leftChars="20" w:right="42" w:rightChars="20"/>
              <w:rPr>
                <w:rFonts w:hint="eastAsia" w:ascii="仿宋" w:hAnsi="仿宋" w:eastAsia="仿宋" w:cs="仿宋"/>
              </w:rPr>
            </w:pPr>
            <w:r>
              <w:rPr>
                <w:rFonts w:hint="eastAsia" w:ascii="仿宋" w:hAnsi="仿宋" w:eastAsia="仿宋" w:cs="仿宋"/>
              </w:rPr>
              <w:t>二档（</w:t>
            </w:r>
            <w:r>
              <w:rPr>
                <w:rFonts w:hint="eastAsia" w:ascii="仿宋" w:hAnsi="仿宋" w:eastAsia="仿宋" w:cs="仿宋"/>
                <w:lang w:val="en-US" w:eastAsia="zh-CN"/>
              </w:rPr>
              <w:t>8</w:t>
            </w:r>
            <w:r>
              <w:rPr>
                <w:rFonts w:hint="eastAsia" w:ascii="仿宋" w:hAnsi="仿宋" w:eastAsia="仿宋" w:cs="仿宋"/>
              </w:rPr>
              <w:t>分）</w:t>
            </w:r>
            <w:r>
              <w:rPr>
                <w:rFonts w:hint="eastAsia" w:ascii="仿宋" w:hAnsi="仿宋" w:eastAsia="仿宋" w:cs="仿宋"/>
                <w:b w:val="0"/>
                <w:bCs/>
                <w:color w:val="auto"/>
                <w:szCs w:val="21"/>
                <w:highlight w:val="none"/>
                <w:lang w:val="en-GB"/>
              </w:rPr>
              <w:t>：把握项目背景、建设意义，能</w:t>
            </w:r>
            <w:r>
              <w:rPr>
                <w:rFonts w:hint="eastAsia" w:ascii="仿宋" w:hAnsi="仿宋" w:eastAsia="仿宋" w:cs="仿宋"/>
                <w:b w:val="0"/>
                <w:bCs/>
                <w:color w:val="auto"/>
                <w:szCs w:val="21"/>
                <w:highlight w:val="none"/>
                <w:lang w:val="en-GB" w:eastAsia="zh-CN"/>
              </w:rPr>
              <w:t>针对项目建设地</w:t>
            </w:r>
            <w:r>
              <w:rPr>
                <w:rFonts w:hint="eastAsia" w:ascii="仿宋" w:hAnsi="仿宋" w:eastAsia="仿宋" w:cs="仿宋"/>
                <w:b w:val="0"/>
                <w:bCs/>
                <w:color w:val="auto"/>
                <w:szCs w:val="21"/>
                <w:highlight w:val="none"/>
                <w:lang w:val="en-GB"/>
              </w:rPr>
              <w:t>政策</w:t>
            </w:r>
            <w:r>
              <w:rPr>
                <w:rFonts w:hint="eastAsia" w:ascii="仿宋" w:hAnsi="仿宋" w:eastAsia="仿宋" w:cs="仿宋"/>
                <w:b w:val="0"/>
                <w:bCs/>
                <w:color w:val="auto"/>
                <w:szCs w:val="21"/>
                <w:highlight w:val="none"/>
                <w:lang w:val="en-GB" w:eastAsia="zh-CN"/>
              </w:rPr>
              <w:t>的实施</w:t>
            </w:r>
            <w:r>
              <w:rPr>
                <w:rFonts w:hint="eastAsia" w:ascii="仿宋" w:hAnsi="仿宋" w:eastAsia="仿宋" w:cs="仿宋"/>
                <w:b w:val="0"/>
                <w:bCs/>
                <w:color w:val="auto"/>
                <w:szCs w:val="21"/>
                <w:highlight w:val="none"/>
                <w:lang w:val="en-GB"/>
              </w:rPr>
              <w:t>但分析深度不足，</w:t>
            </w:r>
            <w:r>
              <w:rPr>
                <w:rFonts w:hint="eastAsia" w:ascii="仿宋" w:hAnsi="仿宋" w:eastAsia="仿宋" w:cs="仿宋"/>
                <w:b w:val="0"/>
                <w:bCs/>
                <w:color w:val="auto"/>
                <w:szCs w:val="21"/>
                <w:highlight w:val="none"/>
                <w:lang w:val="en-US" w:eastAsia="zh-CN"/>
              </w:rPr>
              <w:t>对项目有一定的认识和理解，对本项目建设内容 提出合理化建议详细，思路清晰</w:t>
            </w:r>
            <w:r>
              <w:rPr>
                <w:rFonts w:hint="eastAsia" w:ascii="仿宋" w:hAnsi="仿宋" w:eastAsia="仿宋" w:cs="仿宋"/>
              </w:rPr>
              <w:t>；</w:t>
            </w:r>
          </w:p>
          <w:p>
            <w:pPr>
              <w:spacing w:line="240" w:lineRule="auto"/>
              <w:ind w:left="42" w:leftChars="20" w:right="42" w:rightChars="20"/>
              <w:rPr>
                <w:rFonts w:hint="eastAsia" w:ascii="仿宋" w:hAnsi="仿宋" w:eastAsia="仿宋" w:cs="仿宋"/>
              </w:rPr>
            </w:pPr>
            <w:r>
              <w:rPr>
                <w:rFonts w:hint="eastAsia" w:ascii="仿宋" w:hAnsi="仿宋" w:eastAsia="仿宋" w:cs="仿宋"/>
              </w:rPr>
              <w:t>三档（</w:t>
            </w:r>
            <w:r>
              <w:rPr>
                <w:rFonts w:hint="eastAsia" w:ascii="仿宋" w:hAnsi="仿宋" w:eastAsia="仿宋" w:cs="仿宋"/>
                <w:lang w:val="en-US" w:eastAsia="zh-CN"/>
              </w:rPr>
              <w:t>12</w:t>
            </w:r>
            <w:r>
              <w:rPr>
                <w:rFonts w:hint="eastAsia" w:ascii="仿宋" w:hAnsi="仿宋" w:eastAsia="仿宋" w:cs="仿宋"/>
              </w:rPr>
              <w:t>分）：</w:t>
            </w:r>
            <w:r>
              <w:rPr>
                <w:rFonts w:hint="eastAsia" w:ascii="仿宋" w:hAnsi="仿宋" w:eastAsia="仿宋" w:cs="仿宋"/>
                <w:b w:val="0"/>
                <w:bCs/>
                <w:color w:val="auto"/>
                <w:szCs w:val="21"/>
                <w:highlight w:val="none"/>
              </w:rPr>
              <w:t>精准把握项目背景、建设意义，深度</w:t>
            </w:r>
            <w:r>
              <w:rPr>
                <w:rFonts w:hint="eastAsia" w:ascii="仿宋" w:hAnsi="仿宋" w:eastAsia="仿宋" w:cs="仿宋"/>
                <w:b w:val="0"/>
                <w:bCs/>
                <w:color w:val="auto"/>
                <w:szCs w:val="21"/>
                <w:highlight w:val="none"/>
                <w:lang w:eastAsia="zh-CN"/>
              </w:rPr>
              <w:t>针对项目建设地</w:t>
            </w:r>
            <w:r>
              <w:rPr>
                <w:rFonts w:hint="eastAsia" w:ascii="仿宋" w:hAnsi="仿宋" w:eastAsia="仿宋" w:cs="仿宋"/>
                <w:b w:val="0"/>
                <w:bCs/>
                <w:color w:val="auto"/>
                <w:szCs w:val="21"/>
                <w:highlight w:val="none"/>
              </w:rPr>
              <w:t>政策与</w:t>
            </w:r>
            <w:r>
              <w:rPr>
                <w:rFonts w:hint="eastAsia" w:ascii="仿宋" w:hAnsi="仿宋" w:eastAsia="仿宋" w:cs="仿宋"/>
                <w:b w:val="0"/>
                <w:bCs/>
                <w:color w:val="auto"/>
                <w:szCs w:val="21"/>
                <w:highlight w:val="none"/>
                <w:lang w:eastAsia="zh-CN"/>
              </w:rPr>
              <w:t>本项目</w:t>
            </w:r>
            <w:r>
              <w:rPr>
                <w:rFonts w:hint="eastAsia" w:ascii="仿宋" w:hAnsi="仿宋" w:eastAsia="仿宋" w:cs="仿宋"/>
                <w:b w:val="0"/>
                <w:bCs/>
                <w:color w:val="auto"/>
                <w:szCs w:val="21"/>
                <w:highlight w:val="none"/>
              </w:rPr>
              <w:t>院区发展实际，对项目投资估算的核心匹配要求分析到位，能明确</w:t>
            </w:r>
            <w:r>
              <w:rPr>
                <w:rFonts w:hint="eastAsia" w:ascii="仿宋" w:hAnsi="仿宋" w:eastAsia="仿宋" w:cs="仿宋"/>
                <w:b w:val="0"/>
                <w:bCs/>
                <w:color w:val="auto"/>
                <w:szCs w:val="21"/>
                <w:highlight w:val="none"/>
                <w:lang w:eastAsia="zh-CN"/>
              </w:rPr>
              <w:t>设备更新</w:t>
            </w:r>
            <w:r>
              <w:rPr>
                <w:rFonts w:hint="eastAsia" w:ascii="仿宋" w:hAnsi="仿宋" w:eastAsia="仿宋" w:cs="仿宋"/>
                <w:b w:val="0"/>
                <w:bCs/>
                <w:color w:val="auto"/>
                <w:szCs w:val="21"/>
                <w:highlight w:val="none"/>
              </w:rPr>
              <w:t>的核心需求并提出针对性前期研究思路，分析内容无偏差、贴合项目审批核心要求</w:t>
            </w:r>
            <w:r>
              <w:rPr>
                <w:rFonts w:hint="eastAsia" w:ascii="仿宋" w:hAnsi="仿宋" w:eastAsia="仿宋" w:cs="仿宋"/>
              </w:rPr>
              <w:t>；</w:t>
            </w:r>
          </w:p>
          <w:p>
            <w:pPr>
              <w:spacing w:line="240" w:lineRule="auto"/>
              <w:ind w:left="42" w:leftChars="20" w:right="42" w:rightChars="20"/>
              <w:rPr>
                <w:rFonts w:hint="eastAsia" w:ascii="仿宋" w:hAnsi="仿宋" w:eastAsia="仿宋" w:cs="仿宋"/>
                <w:b w:val="0"/>
                <w:bCs/>
                <w:color w:val="auto"/>
                <w:szCs w:val="21"/>
                <w:highlight w:val="none"/>
                <w:lang w:eastAsia="zh-CN"/>
              </w:rPr>
            </w:pPr>
            <w:r>
              <w:rPr>
                <w:rFonts w:hint="eastAsia" w:ascii="仿宋" w:hAnsi="仿宋" w:eastAsia="仿宋" w:cs="仿宋"/>
                <w:lang w:eastAsia="zh-CN"/>
              </w:rPr>
              <w:t>注：</w:t>
            </w:r>
            <w:r>
              <w:rPr>
                <w:rFonts w:hint="eastAsia" w:ascii="仿宋" w:hAnsi="仿宋" w:eastAsia="仿宋" w:cs="仿宋"/>
                <w:b w:val="0"/>
                <w:bCs/>
                <w:color w:val="auto"/>
                <w:szCs w:val="21"/>
                <w:highlight w:val="none"/>
                <w:lang w:eastAsia="zh-CN"/>
              </w:rPr>
              <w:t>供应商</w:t>
            </w:r>
            <w:r>
              <w:rPr>
                <w:rFonts w:hint="eastAsia" w:ascii="仿宋" w:hAnsi="仿宋" w:eastAsia="仿宋" w:cs="仿宋"/>
                <w:b w:val="0"/>
                <w:bCs/>
                <w:color w:val="auto"/>
                <w:szCs w:val="21"/>
                <w:highlight w:val="none"/>
              </w:rPr>
              <w:t>未提供</w:t>
            </w:r>
            <w:r>
              <w:rPr>
                <w:rFonts w:hint="eastAsia" w:ascii="仿宋" w:hAnsi="仿宋" w:eastAsia="仿宋" w:cs="仿宋"/>
                <w:b w:val="0"/>
                <w:bCs/>
                <w:color w:val="auto"/>
                <w:szCs w:val="21"/>
                <w:highlight w:val="none"/>
                <w:lang w:eastAsia="zh-CN"/>
              </w:rPr>
              <w:t>相应的项目实施方案</w:t>
            </w:r>
            <w:r>
              <w:rPr>
                <w:rFonts w:hint="eastAsia" w:ascii="仿宋" w:hAnsi="仿宋" w:eastAsia="仿宋" w:cs="仿宋"/>
                <w:b w:val="0"/>
                <w:bCs/>
                <w:color w:val="auto"/>
                <w:szCs w:val="21"/>
                <w:highlight w:val="none"/>
              </w:rPr>
              <w:t>或</w:t>
            </w:r>
            <w:r>
              <w:rPr>
                <w:rFonts w:hint="eastAsia" w:ascii="仿宋" w:hAnsi="仿宋" w:eastAsia="仿宋" w:cs="仿宋"/>
                <w:b w:val="0"/>
                <w:bCs/>
                <w:color w:val="auto"/>
                <w:szCs w:val="21"/>
                <w:highlight w:val="none"/>
                <w:lang w:eastAsia="zh-CN"/>
              </w:rPr>
              <w:t>所提供的项目实施方案相应内容</w:t>
            </w:r>
            <w:r>
              <w:rPr>
                <w:rFonts w:hint="eastAsia" w:ascii="仿宋" w:hAnsi="仿宋" w:eastAsia="仿宋" w:cs="仿宋"/>
                <w:b w:val="0"/>
                <w:bCs/>
                <w:color w:val="auto"/>
                <w:szCs w:val="21"/>
                <w:highlight w:val="none"/>
              </w:rPr>
              <w:t>未达到一档标准要求的，</w:t>
            </w:r>
            <w:r>
              <w:rPr>
                <w:rFonts w:hint="eastAsia" w:ascii="仿宋" w:hAnsi="仿宋" w:eastAsia="仿宋" w:cs="仿宋"/>
                <w:b w:val="0"/>
                <w:bCs/>
                <w:color w:val="auto"/>
                <w:szCs w:val="21"/>
                <w:highlight w:val="none"/>
                <w:lang w:eastAsia="zh-CN"/>
              </w:rPr>
              <w:t>相应不予计分。</w:t>
            </w:r>
          </w:p>
          <w:p>
            <w:pPr>
              <w:spacing w:line="240" w:lineRule="auto"/>
              <w:ind w:left="42" w:leftChars="20" w:right="42" w:rightChars="20"/>
              <w:rPr>
                <w:rFonts w:hint="eastAsia" w:ascii="仿宋" w:hAnsi="仿宋" w:eastAsia="仿宋" w:cs="仿宋"/>
                <w:b w:val="0"/>
                <w:bCs/>
                <w:color w:val="auto"/>
                <w:szCs w:val="21"/>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333" w:type="pct"/>
            <w:vMerge w:val="continue"/>
            <w:noWrap w:val="0"/>
            <w:vAlign w:val="center"/>
          </w:tcPr>
          <w:p>
            <w:pPr>
              <w:pStyle w:val="22"/>
              <w:adjustRightInd/>
              <w:snapToGrid/>
              <w:spacing w:before="36" w:line="240" w:lineRule="auto"/>
              <w:ind w:left="105" w:leftChars="50"/>
              <w:jc w:val="center"/>
              <w:rPr>
                <w:rFonts w:hint="eastAsia" w:ascii="仿宋" w:hAnsi="仿宋" w:eastAsia="仿宋" w:cs="仿宋"/>
                <w:b/>
                <w:color w:val="auto"/>
                <w:spacing w:val="6"/>
                <w:lang w:eastAsia="zh-CN"/>
              </w:rPr>
            </w:pPr>
          </w:p>
        </w:tc>
        <w:tc>
          <w:tcPr>
            <w:tcW w:w="702" w:type="pct"/>
            <w:vMerge w:val="continue"/>
            <w:noWrap w:val="0"/>
            <w:vAlign w:val="center"/>
          </w:tcPr>
          <w:p>
            <w:pPr>
              <w:pStyle w:val="22"/>
              <w:adjustRightInd/>
              <w:snapToGrid/>
              <w:spacing w:before="36" w:line="240" w:lineRule="auto"/>
              <w:ind w:left="105" w:leftChars="50"/>
              <w:jc w:val="center"/>
              <w:rPr>
                <w:rFonts w:hint="eastAsia" w:ascii="仿宋" w:hAnsi="仿宋" w:eastAsia="仿宋" w:cs="仿宋"/>
                <w:b/>
                <w:color w:val="auto"/>
              </w:rPr>
            </w:pPr>
          </w:p>
        </w:tc>
        <w:tc>
          <w:tcPr>
            <w:tcW w:w="696" w:type="pct"/>
            <w:tcBorders>
              <w:right w:val="single" w:color="auto" w:sz="4" w:space="0"/>
            </w:tcBorders>
            <w:noWrap w:val="0"/>
            <w:vAlign w:val="center"/>
          </w:tcPr>
          <w:p>
            <w:pPr>
              <w:spacing w:line="240" w:lineRule="auto"/>
              <w:jc w:val="center"/>
              <w:rPr>
                <w:rFonts w:hint="eastAsia" w:ascii="仿宋" w:hAnsi="仿宋" w:eastAsia="仿宋" w:cs="仿宋"/>
                <w:b/>
                <w:bCs/>
                <w:color w:val="auto"/>
                <w:szCs w:val="21"/>
                <w:highlight w:val="none"/>
                <w:lang w:eastAsia="zh-CN"/>
              </w:rPr>
            </w:pPr>
            <w:r>
              <w:rPr>
                <w:rFonts w:hint="eastAsia" w:ascii="仿宋" w:hAnsi="仿宋" w:eastAsia="仿宋" w:cs="仿宋"/>
                <w:b/>
                <w:bCs/>
                <w:color w:val="auto"/>
                <w:szCs w:val="21"/>
                <w:highlight w:val="none"/>
              </w:rPr>
              <w:t>服务方案</w:t>
            </w:r>
            <w:r>
              <w:rPr>
                <w:rFonts w:hint="eastAsia" w:ascii="仿宋" w:hAnsi="仿宋" w:eastAsia="仿宋" w:cs="仿宋"/>
                <w:b/>
                <w:bCs/>
                <w:color w:val="auto"/>
                <w:szCs w:val="21"/>
                <w:highlight w:val="none"/>
                <w:lang w:eastAsia="zh-CN"/>
              </w:rPr>
              <w:t>分</w:t>
            </w:r>
          </w:p>
          <w:p>
            <w:pPr>
              <w:spacing w:line="240" w:lineRule="auto"/>
              <w:jc w:val="center"/>
              <w:rPr>
                <w:rFonts w:hint="eastAsia" w:ascii="仿宋" w:hAnsi="仿宋" w:eastAsia="仿宋" w:cs="仿宋"/>
                <w:b/>
              </w:rPr>
            </w:pPr>
            <w:r>
              <w:rPr>
                <w:rFonts w:hint="eastAsia" w:ascii="仿宋" w:hAnsi="仿宋" w:eastAsia="仿宋" w:cs="仿宋"/>
                <w:b/>
                <w:bCs/>
              </w:rPr>
              <w:t>（</w:t>
            </w:r>
            <w:r>
              <w:rPr>
                <w:rFonts w:hint="eastAsia" w:ascii="仿宋" w:hAnsi="仿宋" w:eastAsia="仿宋" w:cs="仿宋"/>
                <w:b/>
                <w:bCs/>
                <w:lang w:val="en-US" w:eastAsia="zh-CN"/>
              </w:rPr>
              <w:t>15</w:t>
            </w:r>
            <w:r>
              <w:rPr>
                <w:rFonts w:hint="eastAsia" w:ascii="仿宋" w:hAnsi="仿宋" w:eastAsia="仿宋" w:cs="仿宋"/>
                <w:b/>
                <w:bCs/>
              </w:rPr>
              <w:t>分）</w:t>
            </w:r>
          </w:p>
        </w:tc>
        <w:tc>
          <w:tcPr>
            <w:tcW w:w="3267" w:type="pct"/>
            <w:tcBorders>
              <w:left w:val="single" w:color="auto" w:sz="4" w:space="0"/>
            </w:tcBorders>
            <w:noWrap w:val="0"/>
            <w:vAlign w:val="center"/>
          </w:tcPr>
          <w:p>
            <w:pPr>
              <w:spacing w:line="240" w:lineRule="auto"/>
              <w:ind w:left="42" w:leftChars="20" w:right="42" w:rightChars="20"/>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一档（</w:t>
            </w:r>
            <w:r>
              <w:rPr>
                <w:rFonts w:hint="eastAsia" w:ascii="仿宋" w:hAnsi="仿宋" w:eastAsia="仿宋" w:cs="仿宋"/>
                <w:b w:val="0"/>
                <w:bCs/>
                <w:color w:val="auto"/>
                <w:szCs w:val="21"/>
                <w:highlight w:val="none"/>
                <w:lang w:val="en-US" w:eastAsia="zh-CN"/>
              </w:rPr>
              <w:t>4</w:t>
            </w:r>
            <w:r>
              <w:rPr>
                <w:rFonts w:hint="eastAsia" w:ascii="仿宋" w:hAnsi="仿宋" w:eastAsia="仿宋" w:cs="仿宋"/>
                <w:b w:val="0"/>
                <w:bCs/>
                <w:color w:val="auto"/>
                <w:szCs w:val="21"/>
                <w:highlight w:val="none"/>
              </w:rPr>
              <w:t>分）：</w:t>
            </w:r>
            <w:r>
              <w:rPr>
                <w:rFonts w:hint="eastAsia" w:ascii="仿宋" w:hAnsi="仿宋" w:eastAsia="仿宋" w:cs="仿宋"/>
                <w:b w:val="0"/>
                <w:bCs/>
                <w:color w:val="auto"/>
                <w:szCs w:val="21"/>
                <w:highlight w:val="none"/>
                <w:lang w:eastAsia="zh-CN"/>
              </w:rPr>
              <w:t>服务方案可行性低，</w:t>
            </w:r>
            <w:r>
              <w:rPr>
                <w:rFonts w:hint="eastAsia" w:ascii="仿宋" w:hAnsi="仿宋" w:eastAsia="仿宋" w:cs="仿宋"/>
                <w:b w:val="0"/>
                <w:bCs/>
                <w:color w:val="auto"/>
                <w:szCs w:val="21"/>
                <w:highlight w:val="none"/>
              </w:rPr>
              <w:t>工作方案存在报告编制、评审</w:t>
            </w:r>
            <w:r>
              <w:rPr>
                <w:rFonts w:hint="eastAsia" w:ascii="仿宋" w:hAnsi="仿宋" w:eastAsia="仿宋" w:cs="仿宋"/>
                <w:b w:val="0"/>
                <w:bCs/>
                <w:color w:val="auto"/>
                <w:szCs w:val="21"/>
                <w:highlight w:val="none"/>
                <w:lang w:eastAsia="zh-CN"/>
              </w:rPr>
              <w:t>报批等关键环节遗漏，未针对设备更新</w:t>
            </w:r>
            <w:r>
              <w:rPr>
                <w:rFonts w:hint="eastAsia" w:ascii="仿宋" w:hAnsi="仿宋" w:eastAsia="仿宋" w:cs="仿宋"/>
                <w:b w:val="0"/>
                <w:bCs/>
                <w:color w:val="auto"/>
                <w:szCs w:val="21"/>
                <w:highlight w:val="none"/>
                <w:lang w:val="en-US" w:eastAsia="zh-CN"/>
              </w:rPr>
              <w:t xml:space="preserve">                                                                                                                   </w:t>
            </w:r>
            <w:r>
              <w:rPr>
                <w:rFonts w:hint="eastAsia" w:ascii="仿宋" w:hAnsi="仿宋" w:eastAsia="仿宋" w:cs="仿宋"/>
                <w:b w:val="0"/>
                <w:bCs/>
                <w:color w:val="auto"/>
                <w:szCs w:val="21"/>
                <w:highlight w:val="none"/>
              </w:rPr>
              <w:t>专项调研内容，报批配合安排模糊，</w:t>
            </w:r>
            <w:r>
              <w:rPr>
                <w:rFonts w:hint="eastAsia" w:ascii="仿宋" w:hAnsi="仿宋" w:eastAsia="仿宋" w:cs="仿宋"/>
                <w:b w:val="0"/>
                <w:bCs/>
                <w:color w:val="auto"/>
                <w:szCs w:val="21"/>
                <w:highlight w:val="none"/>
                <w:lang w:val="en-US" w:eastAsia="zh-CN"/>
              </w:rPr>
              <w:t>针对本项目的工作流程措施不够明晰</w:t>
            </w:r>
            <w:r>
              <w:rPr>
                <w:rFonts w:hint="eastAsia" w:ascii="仿宋" w:hAnsi="仿宋" w:eastAsia="仿宋" w:cs="仿宋"/>
                <w:b w:val="0"/>
                <w:bCs/>
                <w:color w:val="auto"/>
                <w:szCs w:val="21"/>
                <w:highlight w:val="none"/>
              </w:rPr>
              <w:t>；</w:t>
            </w:r>
          </w:p>
          <w:p>
            <w:pPr>
              <w:spacing w:line="240" w:lineRule="auto"/>
              <w:ind w:left="42" w:leftChars="20" w:right="42" w:rightChars="20"/>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二档（</w:t>
            </w:r>
            <w:r>
              <w:rPr>
                <w:rFonts w:hint="eastAsia" w:ascii="仿宋" w:hAnsi="仿宋" w:eastAsia="仿宋" w:cs="仿宋"/>
                <w:b w:val="0"/>
                <w:bCs/>
                <w:color w:val="auto"/>
                <w:szCs w:val="21"/>
                <w:highlight w:val="none"/>
                <w:lang w:val="en-US" w:eastAsia="zh-CN"/>
              </w:rPr>
              <w:t>8</w:t>
            </w:r>
            <w:r>
              <w:rPr>
                <w:rFonts w:hint="eastAsia" w:ascii="仿宋" w:hAnsi="仿宋" w:eastAsia="仿宋" w:cs="仿宋"/>
                <w:b w:val="0"/>
                <w:bCs/>
                <w:color w:val="auto"/>
                <w:szCs w:val="21"/>
                <w:highlight w:val="none"/>
              </w:rPr>
              <w:t>分）：</w:t>
            </w:r>
            <w:r>
              <w:rPr>
                <w:rFonts w:hint="eastAsia" w:ascii="仿宋" w:hAnsi="仿宋" w:eastAsia="仿宋" w:cs="仿宋"/>
                <w:b w:val="0"/>
                <w:bCs/>
                <w:color w:val="auto"/>
                <w:szCs w:val="21"/>
                <w:highlight w:val="none"/>
                <w:lang w:eastAsia="zh-CN"/>
              </w:rPr>
              <w:t>服务方案较详细，工作方案</w:t>
            </w:r>
            <w:r>
              <w:rPr>
                <w:rFonts w:hint="eastAsia" w:ascii="仿宋" w:hAnsi="仿宋" w:eastAsia="仿宋" w:cs="仿宋"/>
                <w:b w:val="0"/>
                <w:bCs/>
                <w:color w:val="auto"/>
                <w:szCs w:val="21"/>
                <w:highlight w:val="none"/>
              </w:rPr>
              <w:t>覆盖报告编制、调研、评审报批等核心工作环节无遗漏，调研内容包含</w:t>
            </w:r>
            <w:r>
              <w:rPr>
                <w:rFonts w:hint="eastAsia" w:ascii="仿宋" w:hAnsi="仿宋" w:eastAsia="仿宋" w:cs="仿宋"/>
                <w:b w:val="0"/>
                <w:bCs/>
                <w:color w:val="auto"/>
                <w:szCs w:val="21"/>
                <w:highlight w:val="none"/>
                <w:lang w:eastAsia="zh-CN"/>
              </w:rPr>
              <w:t>设备更新</w:t>
            </w:r>
            <w:r>
              <w:rPr>
                <w:rFonts w:hint="eastAsia" w:ascii="仿宋" w:hAnsi="仿宋" w:eastAsia="仿宋" w:cs="仿宋"/>
                <w:b w:val="0"/>
                <w:bCs/>
                <w:color w:val="auto"/>
                <w:szCs w:val="21"/>
                <w:highlight w:val="none"/>
              </w:rPr>
              <w:t>项目核心要素，</w:t>
            </w:r>
            <w:r>
              <w:rPr>
                <w:rFonts w:hint="eastAsia" w:ascii="仿宋" w:hAnsi="仿宋" w:eastAsia="仿宋" w:cs="仿宋"/>
                <w:b w:val="0"/>
                <w:bCs/>
                <w:color w:val="auto"/>
                <w:szCs w:val="21"/>
                <w:highlight w:val="none"/>
                <w:lang w:val="en-US" w:eastAsia="zh-CN"/>
              </w:rPr>
              <w:t>针对本项目的工作流程措施基本可行；</w:t>
            </w:r>
          </w:p>
          <w:p>
            <w:pPr>
              <w:spacing w:line="240" w:lineRule="auto"/>
              <w:ind w:left="42" w:leftChars="20" w:right="42" w:rightChars="20"/>
              <w:jc w:val="left"/>
              <w:rPr>
                <w:rFonts w:hint="eastAsia" w:ascii="仿宋" w:hAnsi="仿宋" w:eastAsia="仿宋" w:cs="仿宋"/>
                <w:b w:val="0"/>
                <w:bCs/>
                <w:color w:val="auto"/>
                <w:sz w:val="21"/>
                <w:highlight w:val="none"/>
                <w:lang w:eastAsia="zh-CN"/>
              </w:rPr>
            </w:pPr>
            <w:r>
              <w:rPr>
                <w:rFonts w:hint="eastAsia" w:ascii="仿宋" w:hAnsi="仿宋" w:eastAsia="仿宋" w:cs="仿宋"/>
                <w:b w:val="0"/>
                <w:bCs/>
              </w:rPr>
              <w:t>三档（</w:t>
            </w:r>
            <w:r>
              <w:rPr>
                <w:rFonts w:hint="eastAsia" w:ascii="仿宋" w:hAnsi="仿宋" w:eastAsia="仿宋" w:cs="仿宋"/>
                <w:b w:val="0"/>
                <w:bCs/>
                <w:lang w:val="en-US" w:eastAsia="zh-CN"/>
              </w:rPr>
              <w:t>12</w:t>
            </w:r>
            <w:r>
              <w:rPr>
                <w:rFonts w:hint="eastAsia" w:ascii="仿宋" w:hAnsi="仿宋" w:eastAsia="仿宋" w:cs="仿宋"/>
                <w:b w:val="0"/>
                <w:bCs/>
              </w:rPr>
              <w:t>分）：</w:t>
            </w:r>
            <w:r>
              <w:rPr>
                <w:rFonts w:hint="eastAsia" w:ascii="仿宋" w:hAnsi="仿宋" w:eastAsia="仿宋" w:cs="仿宋"/>
                <w:b w:val="0"/>
                <w:bCs/>
                <w:lang w:eastAsia="zh-CN"/>
              </w:rPr>
              <w:t>服务方案详细完善，</w:t>
            </w:r>
            <w:r>
              <w:rPr>
                <w:rFonts w:hint="eastAsia" w:ascii="仿宋" w:hAnsi="仿宋" w:eastAsia="仿宋" w:cs="仿宋"/>
                <w:b w:val="0"/>
                <w:bCs/>
                <w:color w:val="auto"/>
                <w:sz w:val="21"/>
                <w:highlight w:val="none"/>
              </w:rPr>
              <w:t>覆盖前期研究、报告编制、现场调研、评审报批、报告修改完善全流程工作，针对</w:t>
            </w:r>
            <w:r>
              <w:rPr>
                <w:rFonts w:hint="eastAsia" w:ascii="仿宋" w:hAnsi="仿宋" w:eastAsia="仿宋" w:cs="仿宋"/>
                <w:b w:val="0"/>
                <w:bCs/>
                <w:color w:val="auto"/>
                <w:sz w:val="21"/>
                <w:highlight w:val="none"/>
                <w:lang w:eastAsia="zh-CN"/>
              </w:rPr>
              <w:t>设备更新</w:t>
            </w:r>
            <w:r>
              <w:rPr>
                <w:rFonts w:hint="eastAsia" w:ascii="仿宋" w:hAnsi="仿宋" w:eastAsia="仿宋" w:cs="仿宋"/>
                <w:b w:val="0"/>
                <w:bCs/>
                <w:color w:val="auto"/>
                <w:sz w:val="21"/>
                <w:highlight w:val="none"/>
              </w:rPr>
              <w:t>项目设计专属调研内容，报批配合安排贴合</w:t>
            </w:r>
            <w:r>
              <w:rPr>
                <w:rFonts w:hint="eastAsia" w:ascii="仿宋" w:hAnsi="仿宋" w:eastAsia="仿宋" w:cs="仿宋"/>
                <w:b w:val="0"/>
                <w:bCs/>
                <w:color w:val="auto"/>
                <w:sz w:val="21"/>
                <w:highlight w:val="none"/>
                <w:lang w:eastAsia="zh-CN"/>
              </w:rPr>
              <w:t>项目</w:t>
            </w:r>
            <w:r>
              <w:rPr>
                <w:rFonts w:hint="eastAsia" w:ascii="仿宋" w:hAnsi="仿宋" w:eastAsia="仿宋" w:cs="仿宋"/>
                <w:b w:val="0"/>
                <w:bCs/>
                <w:color w:val="auto"/>
                <w:sz w:val="21"/>
                <w:highlight w:val="none"/>
              </w:rPr>
              <w:t>审批流程，工作安排完全匹配采购文件约定的关键工期节点</w:t>
            </w:r>
            <w:r>
              <w:rPr>
                <w:rFonts w:hint="eastAsia" w:ascii="仿宋" w:hAnsi="仿宋" w:eastAsia="仿宋" w:cs="仿宋"/>
                <w:b w:val="0"/>
                <w:bCs/>
                <w:color w:val="auto"/>
                <w:sz w:val="21"/>
                <w:highlight w:val="none"/>
                <w:lang w:eastAsia="zh-CN"/>
              </w:rPr>
              <w:t>。</w:t>
            </w:r>
          </w:p>
          <w:p>
            <w:pPr>
              <w:spacing w:line="240" w:lineRule="auto"/>
              <w:ind w:left="42" w:leftChars="20" w:right="42" w:rightChars="20"/>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lang w:eastAsia="zh-CN"/>
              </w:rPr>
              <w:t>注：</w:t>
            </w:r>
            <w:r>
              <w:rPr>
                <w:rFonts w:hint="eastAsia" w:ascii="仿宋" w:hAnsi="仿宋" w:eastAsia="仿宋" w:cs="仿宋"/>
                <w:b w:val="0"/>
                <w:bCs/>
                <w:color w:val="auto"/>
                <w:szCs w:val="21"/>
                <w:highlight w:val="none"/>
                <w:lang w:eastAsia="zh-CN"/>
              </w:rPr>
              <w:t>供应商</w:t>
            </w:r>
            <w:r>
              <w:rPr>
                <w:rFonts w:hint="eastAsia" w:ascii="仿宋" w:hAnsi="仿宋" w:eastAsia="仿宋" w:cs="仿宋"/>
                <w:b w:val="0"/>
                <w:bCs/>
                <w:color w:val="auto"/>
                <w:szCs w:val="21"/>
                <w:highlight w:val="none"/>
              </w:rPr>
              <w:t>未提供</w:t>
            </w:r>
            <w:r>
              <w:rPr>
                <w:rFonts w:hint="eastAsia" w:ascii="仿宋" w:hAnsi="仿宋" w:eastAsia="仿宋" w:cs="仿宋"/>
                <w:b w:val="0"/>
                <w:bCs/>
                <w:color w:val="auto"/>
                <w:szCs w:val="21"/>
                <w:highlight w:val="none"/>
                <w:lang w:eastAsia="zh-CN"/>
              </w:rPr>
              <w:t>相应的项目实施方案</w:t>
            </w:r>
            <w:r>
              <w:rPr>
                <w:rFonts w:hint="eastAsia" w:ascii="仿宋" w:hAnsi="仿宋" w:eastAsia="仿宋" w:cs="仿宋"/>
                <w:b w:val="0"/>
                <w:bCs/>
                <w:color w:val="auto"/>
                <w:szCs w:val="21"/>
                <w:highlight w:val="none"/>
              </w:rPr>
              <w:t>或</w:t>
            </w:r>
            <w:r>
              <w:rPr>
                <w:rFonts w:hint="eastAsia" w:ascii="仿宋" w:hAnsi="仿宋" w:eastAsia="仿宋" w:cs="仿宋"/>
                <w:b w:val="0"/>
                <w:bCs/>
                <w:color w:val="auto"/>
                <w:szCs w:val="21"/>
                <w:highlight w:val="none"/>
                <w:lang w:eastAsia="zh-CN"/>
              </w:rPr>
              <w:t>所提供的项目实施方案相应内容</w:t>
            </w:r>
            <w:r>
              <w:rPr>
                <w:rFonts w:hint="eastAsia" w:ascii="仿宋" w:hAnsi="仿宋" w:eastAsia="仿宋" w:cs="仿宋"/>
                <w:b w:val="0"/>
                <w:bCs/>
                <w:color w:val="auto"/>
                <w:szCs w:val="21"/>
                <w:highlight w:val="none"/>
              </w:rPr>
              <w:t>未达到一档标准要求的，</w:t>
            </w:r>
            <w:r>
              <w:rPr>
                <w:rFonts w:hint="eastAsia" w:ascii="仿宋" w:hAnsi="仿宋" w:eastAsia="仿宋" w:cs="仿宋"/>
                <w:b w:val="0"/>
                <w:bCs/>
                <w:color w:val="auto"/>
                <w:szCs w:val="21"/>
                <w:highlight w:val="none"/>
                <w:lang w:eastAsia="zh-CN"/>
              </w:rPr>
              <w:t>相应不予计分。</w:t>
            </w:r>
          </w:p>
          <w:p>
            <w:pPr>
              <w:spacing w:line="240" w:lineRule="auto"/>
              <w:ind w:left="42" w:leftChars="20" w:right="42" w:rightChars="20"/>
              <w:jc w:val="left"/>
              <w:rPr>
                <w:rFonts w:hint="eastAsia" w:ascii="仿宋" w:hAnsi="仿宋" w:eastAsia="仿宋" w:cs="仿宋"/>
                <w:b w:val="0"/>
                <w:bCs/>
                <w:color w:val="auto"/>
                <w:szCs w:val="21"/>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333" w:type="pct"/>
            <w:vMerge w:val="continue"/>
            <w:noWrap w:val="0"/>
            <w:vAlign w:val="center"/>
          </w:tcPr>
          <w:p>
            <w:pPr>
              <w:pStyle w:val="22"/>
              <w:adjustRightInd/>
              <w:snapToGrid/>
              <w:spacing w:before="36" w:line="240" w:lineRule="auto"/>
              <w:ind w:left="105" w:leftChars="50"/>
              <w:jc w:val="center"/>
              <w:rPr>
                <w:rFonts w:hint="eastAsia" w:ascii="仿宋" w:hAnsi="仿宋" w:eastAsia="仿宋" w:cs="仿宋"/>
                <w:b/>
                <w:color w:val="auto"/>
                <w:spacing w:val="6"/>
                <w:lang w:eastAsia="zh-CN"/>
              </w:rPr>
            </w:pPr>
          </w:p>
        </w:tc>
        <w:tc>
          <w:tcPr>
            <w:tcW w:w="702" w:type="pct"/>
            <w:vMerge w:val="continue"/>
            <w:noWrap w:val="0"/>
            <w:vAlign w:val="center"/>
          </w:tcPr>
          <w:p>
            <w:pPr>
              <w:pStyle w:val="22"/>
              <w:adjustRightInd/>
              <w:snapToGrid/>
              <w:spacing w:before="36" w:line="240" w:lineRule="auto"/>
              <w:ind w:left="105" w:leftChars="50"/>
              <w:jc w:val="center"/>
              <w:rPr>
                <w:rFonts w:hint="eastAsia" w:ascii="仿宋" w:hAnsi="仿宋" w:eastAsia="仿宋" w:cs="仿宋"/>
                <w:b/>
                <w:color w:val="auto"/>
              </w:rPr>
            </w:pPr>
          </w:p>
        </w:tc>
        <w:tc>
          <w:tcPr>
            <w:tcW w:w="696" w:type="pct"/>
            <w:tcBorders>
              <w:right w:val="single" w:color="auto" w:sz="4" w:space="0"/>
            </w:tcBorders>
            <w:noWrap w:val="0"/>
            <w:vAlign w:val="center"/>
          </w:tcPr>
          <w:p>
            <w:pPr>
              <w:spacing w:line="240" w:lineRule="auto"/>
              <w:ind w:left="42" w:leftChars="20" w:right="42" w:rightChars="20"/>
              <w:jc w:val="center"/>
              <w:rPr>
                <w:rFonts w:hint="eastAsia" w:ascii="仿宋" w:hAnsi="仿宋" w:eastAsia="仿宋" w:cs="仿宋"/>
              </w:rPr>
            </w:pPr>
            <w:r>
              <w:rPr>
                <w:rFonts w:hint="eastAsia" w:ascii="仿宋" w:hAnsi="仿宋" w:eastAsia="仿宋" w:cs="仿宋"/>
                <w:b/>
                <w:bCs/>
                <w:lang w:val="en-US" w:eastAsia="zh-CN"/>
              </w:rPr>
              <w:t>质量保障分</w:t>
            </w:r>
            <w:r>
              <w:rPr>
                <w:rFonts w:hint="eastAsia" w:ascii="仿宋" w:hAnsi="仿宋" w:eastAsia="仿宋" w:cs="仿宋"/>
                <w:b/>
                <w:bCs/>
              </w:rPr>
              <w:t>（1</w:t>
            </w:r>
            <w:r>
              <w:rPr>
                <w:rFonts w:hint="eastAsia" w:ascii="仿宋" w:hAnsi="仿宋" w:eastAsia="仿宋" w:cs="仿宋"/>
                <w:b/>
                <w:bCs/>
                <w:lang w:val="en-US" w:eastAsia="zh-CN"/>
              </w:rPr>
              <w:t>2</w:t>
            </w:r>
            <w:r>
              <w:rPr>
                <w:rFonts w:hint="eastAsia" w:ascii="仿宋" w:hAnsi="仿宋" w:eastAsia="仿宋" w:cs="仿宋"/>
                <w:b/>
                <w:bCs/>
              </w:rPr>
              <w:t>分）</w:t>
            </w:r>
          </w:p>
        </w:tc>
        <w:tc>
          <w:tcPr>
            <w:tcW w:w="3267" w:type="pct"/>
            <w:tcBorders>
              <w:left w:val="single" w:color="auto" w:sz="4" w:space="0"/>
            </w:tcBorders>
            <w:noWrap w:val="0"/>
            <w:vAlign w:val="center"/>
          </w:tcPr>
          <w:p>
            <w:pPr>
              <w:spacing w:line="240" w:lineRule="auto"/>
              <w:ind w:left="42" w:leftChars="20" w:right="42" w:rightChars="20"/>
              <w:rPr>
                <w:rFonts w:hint="eastAsia" w:ascii="仿宋" w:hAnsi="仿宋" w:eastAsia="仿宋" w:cs="仿宋"/>
              </w:rPr>
            </w:pPr>
            <w:r>
              <w:rPr>
                <w:rFonts w:hint="eastAsia" w:ascii="仿宋" w:hAnsi="仿宋" w:eastAsia="仿宋" w:cs="仿宋"/>
                <w:lang w:eastAsia="zh-CN"/>
              </w:rPr>
              <w:t>一</w:t>
            </w:r>
            <w:r>
              <w:rPr>
                <w:rFonts w:hint="eastAsia" w:ascii="仿宋" w:hAnsi="仿宋" w:eastAsia="仿宋" w:cs="仿宋"/>
              </w:rPr>
              <w:t>档（</w:t>
            </w:r>
            <w:r>
              <w:rPr>
                <w:rFonts w:hint="eastAsia" w:ascii="仿宋" w:hAnsi="仿宋" w:eastAsia="仿宋" w:cs="仿宋"/>
                <w:lang w:val="en-US" w:eastAsia="zh-CN"/>
              </w:rPr>
              <w:t>4</w:t>
            </w:r>
            <w:r>
              <w:rPr>
                <w:rFonts w:hint="eastAsia" w:ascii="仿宋" w:hAnsi="仿宋" w:eastAsia="仿宋" w:cs="仿宋"/>
              </w:rPr>
              <w:t>分）：</w:t>
            </w:r>
            <w:r>
              <w:rPr>
                <w:rFonts w:hint="eastAsia" w:ascii="仿宋" w:hAnsi="仿宋" w:eastAsia="仿宋" w:cs="仿宋"/>
                <w:lang w:val="en-US" w:eastAsia="zh-CN"/>
              </w:rPr>
              <w:t>针对本项目建立基本的质量保障体系，</w:t>
            </w:r>
            <w:r>
              <w:rPr>
                <w:rFonts w:hint="eastAsia" w:ascii="仿宋" w:hAnsi="仿宋" w:eastAsia="仿宋" w:cs="仿宋"/>
                <w:color w:val="auto"/>
                <w:highlight w:val="none"/>
                <w:lang w:eastAsia="zh-CN"/>
              </w:rPr>
              <w:t>质量审核流程模糊无明确标准，</w:t>
            </w:r>
            <w:r>
              <w:rPr>
                <w:rFonts w:hint="eastAsia" w:ascii="仿宋" w:hAnsi="仿宋" w:eastAsia="仿宋" w:cs="仿宋"/>
                <w:lang w:val="en-US" w:eastAsia="zh-CN"/>
              </w:rPr>
              <w:t>有组织机构的描述，设置有质量管理机构等，基本满足项目需求</w:t>
            </w:r>
            <w:r>
              <w:rPr>
                <w:rFonts w:hint="eastAsia" w:ascii="仿宋" w:hAnsi="仿宋" w:eastAsia="仿宋" w:cs="仿宋"/>
              </w:rPr>
              <w:t>；</w:t>
            </w:r>
          </w:p>
          <w:p>
            <w:pPr>
              <w:spacing w:line="240" w:lineRule="auto"/>
              <w:ind w:left="42" w:leftChars="20" w:right="42" w:rightChars="20"/>
              <w:rPr>
                <w:rFonts w:hint="eastAsia" w:ascii="仿宋" w:hAnsi="仿宋" w:eastAsia="仿宋" w:cs="仿宋"/>
                <w:lang w:val="en-US" w:eastAsia="zh-CN"/>
              </w:rPr>
            </w:pPr>
            <w:r>
              <w:rPr>
                <w:rFonts w:hint="eastAsia" w:ascii="仿宋" w:hAnsi="仿宋" w:eastAsia="仿宋" w:cs="仿宋"/>
                <w:lang w:eastAsia="zh-CN"/>
              </w:rPr>
              <w:t>二</w:t>
            </w:r>
            <w:r>
              <w:rPr>
                <w:rFonts w:hint="eastAsia" w:ascii="仿宋" w:hAnsi="仿宋" w:eastAsia="仿宋" w:cs="仿宋"/>
                <w:lang w:val="en-US" w:eastAsia="zh-CN"/>
              </w:rPr>
              <w:t>档（8分）：针对本项目建立合理的质量保障体系，</w:t>
            </w:r>
            <w:r>
              <w:rPr>
                <w:rFonts w:hint="eastAsia" w:ascii="仿宋" w:hAnsi="仿宋" w:eastAsia="仿宋" w:cs="仿宋"/>
                <w:color w:val="auto"/>
                <w:highlight w:val="none"/>
                <w:lang w:eastAsia="zh-CN"/>
              </w:rPr>
              <w:t>建立编制人自审→审核人复审的二级质量审核流程，</w:t>
            </w:r>
            <w:r>
              <w:rPr>
                <w:rFonts w:hint="eastAsia" w:ascii="仿宋" w:hAnsi="仿宋" w:eastAsia="仿宋" w:cs="仿宋"/>
                <w:lang w:val="en-US" w:eastAsia="zh-CN"/>
              </w:rPr>
              <w:t>有详细的组织机构描述，设置有质量管理机构、质量审查机构等；有合理可行的项目质量管理措施，内容满足项目需求；</w:t>
            </w:r>
          </w:p>
          <w:p>
            <w:pPr>
              <w:spacing w:line="240" w:lineRule="auto"/>
              <w:ind w:left="42" w:leftChars="20" w:right="42" w:rightChars="20"/>
              <w:rPr>
                <w:rFonts w:hint="eastAsia" w:ascii="仿宋" w:hAnsi="仿宋" w:eastAsia="仿宋" w:cs="仿宋"/>
              </w:rPr>
            </w:pPr>
            <w:r>
              <w:rPr>
                <w:rFonts w:hint="eastAsia" w:ascii="仿宋" w:hAnsi="仿宋" w:eastAsia="仿宋" w:cs="仿宋"/>
                <w:lang w:eastAsia="zh-CN"/>
              </w:rPr>
              <w:t>三</w:t>
            </w:r>
            <w:r>
              <w:rPr>
                <w:rFonts w:hint="eastAsia" w:ascii="仿宋" w:hAnsi="仿宋" w:eastAsia="仿宋" w:cs="仿宋"/>
              </w:rPr>
              <w:t>档（</w:t>
            </w:r>
            <w:r>
              <w:rPr>
                <w:rFonts w:hint="eastAsia" w:ascii="仿宋" w:hAnsi="仿宋" w:eastAsia="仿宋" w:cs="仿宋"/>
                <w:lang w:val="en-US" w:eastAsia="zh-CN"/>
              </w:rPr>
              <w:t>12</w:t>
            </w:r>
            <w:r>
              <w:rPr>
                <w:rFonts w:hint="eastAsia" w:ascii="仿宋" w:hAnsi="仿宋" w:eastAsia="仿宋" w:cs="仿宋"/>
              </w:rPr>
              <w:t>分）：</w:t>
            </w:r>
            <w:r>
              <w:rPr>
                <w:rFonts w:hint="eastAsia" w:ascii="仿宋" w:hAnsi="仿宋" w:eastAsia="仿宋" w:cs="仿宋"/>
                <w:lang w:val="en-US" w:eastAsia="zh-CN"/>
              </w:rPr>
              <w:t>针对本项目建立合理、完善的质量保障体系，</w:t>
            </w:r>
            <w:r>
              <w:rPr>
                <w:rFonts w:hint="eastAsia" w:ascii="仿宋" w:hAnsi="仿宋" w:eastAsia="仿宋" w:cs="仿宋"/>
                <w:color w:val="auto"/>
                <w:highlight w:val="none"/>
                <w:lang w:eastAsia="zh-CN"/>
              </w:rPr>
              <w:t>建立编制人自审→审核人复审→审定人终审的三级质量审核流程，</w:t>
            </w:r>
            <w:r>
              <w:rPr>
                <w:rFonts w:hint="eastAsia" w:ascii="仿宋" w:hAnsi="仿宋" w:eastAsia="仿宋" w:cs="仿宋"/>
                <w:lang w:val="en-US" w:eastAsia="zh-CN"/>
              </w:rPr>
              <w:t>有详细、完整的组织机构描述，设置有质量管理机构、质量审查机构等；有完善、合理可行的项目管理措施及风险防控措施；体系合理完善、切合项目实际需求</w:t>
            </w:r>
            <w:r>
              <w:rPr>
                <w:rFonts w:hint="eastAsia" w:ascii="仿宋" w:hAnsi="仿宋" w:eastAsia="仿宋" w:cs="仿宋"/>
              </w:rPr>
              <w:t>。</w:t>
            </w:r>
          </w:p>
          <w:p>
            <w:pPr>
              <w:spacing w:line="240" w:lineRule="auto"/>
              <w:ind w:left="42" w:leftChars="20" w:right="42" w:rightChars="20"/>
              <w:rPr>
                <w:rFonts w:hint="eastAsia" w:ascii="仿宋" w:hAnsi="仿宋" w:eastAsia="仿宋" w:cs="仿宋"/>
                <w:lang w:eastAsia="zh-CN"/>
              </w:rPr>
            </w:pPr>
            <w:r>
              <w:rPr>
                <w:rFonts w:hint="eastAsia" w:ascii="仿宋" w:hAnsi="仿宋" w:eastAsia="仿宋" w:cs="仿宋"/>
                <w:lang w:eastAsia="zh-CN"/>
              </w:rPr>
              <w:t>注：供应商</w:t>
            </w:r>
            <w:r>
              <w:rPr>
                <w:rFonts w:hint="eastAsia" w:ascii="仿宋" w:hAnsi="仿宋" w:eastAsia="仿宋" w:cs="仿宋"/>
              </w:rPr>
              <w:t>未提供</w:t>
            </w:r>
            <w:r>
              <w:rPr>
                <w:rFonts w:hint="eastAsia" w:ascii="仿宋" w:hAnsi="仿宋" w:eastAsia="仿宋" w:cs="仿宋"/>
                <w:lang w:eastAsia="zh-CN"/>
              </w:rPr>
              <w:t>相应的项目实施方案</w:t>
            </w:r>
            <w:r>
              <w:rPr>
                <w:rFonts w:hint="eastAsia" w:ascii="仿宋" w:hAnsi="仿宋" w:eastAsia="仿宋" w:cs="仿宋"/>
              </w:rPr>
              <w:t>或</w:t>
            </w:r>
            <w:r>
              <w:rPr>
                <w:rFonts w:hint="eastAsia" w:ascii="仿宋" w:hAnsi="仿宋" w:eastAsia="仿宋" w:cs="仿宋"/>
                <w:lang w:eastAsia="zh-CN"/>
              </w:rPr>
              <w:t>所提供的项目实施方案相应内容</w:t>
            </w:r>
            <w:r>
              <w:rPr>
                <w:rFonts w:hint="eastAsia" w:ascii="仿宋" w:hAnsi="仿宋" w:eastAsia="仿宋" w:cs="仿宋"/>
              </w:rPr>
              <w:t>未达到一档标准要求的，</w:t>
            </w:r>
            <w:r>
              <w:rPr>
                <w:rFonts w:hint="eastAsia" w:ascii="仿宋" w:hAnsi="仿宋" w:eastAsia="仿宋" w:cs="仿宋"/>
                <w:lang w:eastAsia="zh-CN"/>
              </w:rPr>
              <w:t>相应不予计分。</w:t>
            </w:r>
          </w:p>
          <w:p>
            <w:pPr>
              <w:spacing w:line="240" w:lineRule="auto"/>
              <w:ind w:left="42" w:leftChars="20" w:right="42" w:rightChars="20"/>
              <w:rPr>
                <w:rFonts w:hint="eastAsia" w:ascii="仿宋" w:hAnsi="仿宋" w:eastAsia="仿宋" w:cs="仿宋"/>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333" w:type="pct"/>
            <w:vMerge w:val="continue"/>
            <w:noWrap w:val="0"/>
            <w:vAlign w:val="center"/>
          </w:tcPr>
          <w:p>
            <w:pPr>
              <w:pStyle w:val="22"/>
              <w:adjustRightInd/>
              <w:snapToGrid/>
              <w:spacing w:before="36" w:line="240" w:lineRule="auto"/>
              <w:ind w:left="105" w:leftChars="50"/>
              <w:jc w:val="center"/>
              <w:rPr>
                <w:rFonts w:hint="eastAsia" w:ascii="仿宋" w:hAnsi="仿宋" w:eastAsia="仿宋" w:cs="仿宋"/>
                <w:b/>
                <w:color w:val="auto"/>
                <w:spacing w:val="6"/>
                <w:lang w:eastAsia="zh-CN"/>
              </w:rPr>
            </w:pPr>
          </w:p>
        </w:tc>
        <w:tc>
          <w:tcPr>
            <w:tcW w:w="702" w:type="pct"/>
            <w:vMerge w:val="continue"/>
            <w:noWrap w:val="0"/>
            <w:vAlign w:val="center"/>
          </w:tcPr>
          <w:p>
            <w:pPr>
              <w:pStyle w:val="22"/>
              <w:adjustRightInd/>
              <w:snapToGrid/>
              <w:spacing w:before="36" w:line="240" w:lineRule="auto"/>
              <w:ind w:left="105" w:leftChars="50"/>
              <w:jc w:val="center"/>
              <w:rPr>
                <w:rFonts w:hint="eastAsia" w:ascii="仿宋" w:hAnsi="仿宋" w:eastAsia="仿宋" w:cs="仿宋"/>
                <w:b/>
                <w:color w:val="auto"/>
              </w:rPr>
            </w:pPr>
          </w:p>
        </w:tc>
        <w:tc>
          <w:tcPr>
            <w:tcW w:w="696" w:type="pct"/>
            <w:tcBorders>
              <w:right w:val="single" w:color="auto" w:sz="4" w:space="0"/>
            </w:tcBorders>
            <w:noWrap w:val="0"/>
            <w:vAlign w:val="center"/>
          </w:tcPr>
          <w:p>
            <w:pPr>
              <w:spacing w:line="240" w:lineRule="auto"/>
              <w:ind w:left="42" w:leftChars="20" w:right="42" w:rightChars="20"/>
              <w:jc w:val="center"/>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服务承诺分</w:t>
            </w:r>
          </w:p>
          <w:p>
            <w:pPr>
              <w:spacing w:line="240" w:lineRule="auto"/>
              <w:ind w:left="42" w:leftChars="20" w:right="42" w:rightChars="20"/>
              <w:jc w:val="center"/>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val="en-US" w:eastAsia="zh-CN"/>
              </w:rPr>
              <w:t>9</w:t>
            </w:r>
            <w:r>
              <w:rPr>
                <w:rFonts w:hint="eastAsia" w:ascii="仿宋" w:hAnsi="仿宋" w:eastAsia="仿宋" w:cs="仿宋"/>
                <w:b/>
                <w:bCs/>
                <w:color w:val="auto"/>
                <w:sz w:val="21"/>
                <w:szCs w:val="21"/>
                <w:highlight w:val="none"/>
              </w:rPr>
              <w:t>分）</w:t>
            </w:r>
          </w:p>
        </w:tc>
        <w:tc>
          <w:tcPr>
            <w:tcW w:w="3267" w:type="pct"/>
            <w:tcBorders>
              <w:left w:val="single" w:color="auto" w:sz="4" w:space="0"/>
            </w:tcBorders>
            <w:noWrap w:val="0"/>
            <w:vAlign w:val="center"/>
          </w:tcPr>
          <w:p>
            <w:pPr>
              <w:spacing w:line="240" w:lineRule="auto"/>
              <w:ind w:left="42" w:leftChars="20" w:right="42" w:rightChars="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一</w:t>
            </w:r>
            <w:r>
              <w:rPr>
                <w:rFonts w:hint="eastAsia" w:ascii="仿宋" w:hAnsi="仿宋" w:eastAsia="仿宋" w:cs="仿宋"/>
                <w:color w:val="auto"/>
                <w:sz w:val="21"/>
                <w:szCs w:val="21"/>
                <w:highlight w:val="none"/>
              </w:rPr>
              <w:t>档（</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针对后续售后服务内容不全面</w:t>
            </w:r>
            <w:r>
              <w:rPr>
                <w:rFonts w:hint="eastAsia" w:ascii="仿宋" w:hAnsi="仿宋" w:eastAsia="仿宋" w:cs="仿宋"/>
                <w:color w:val="auto"/>
                <w:sz w:val="21"/>
                <w:szCs w:val="21"/>
                <w:highlight w:val="none"/>
              </w:rPr>
              <w:t>；</w:t>
            </w:r>
          </w:p>
          <w:p>
            <w:pPr>
              <w:spacing w:line="240" w:lineRule="auto"/>
              <w:ind w:left="42" w:leftChars="20" w:right="42" w:rightChars="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二</w:t>
            </w:r>
            <w:r>
              <w:rPr>
                <w:rFonts w:hint="eastAsia" w:ascii="仿宋" w:hAnsi="仿宋" w:eastAsia="仿宋" w:cs="仿宋"/>
                <w:color w:val="auto"/>
                <w:sz w:val="21"/>
                <w:szCs w:val="21"/>
                <w:highlight w:val="none"/>
              </w:rPr>
              <w:t>档（</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val="en-US" w:eastAsia="zh-CN"/>
              </w:rPr>
              <w:t>服务响应时间较及时、有较具体的售后服务流程等内容，内容合理</w:t>
            </w:r>
            <w:r>
              <w:rPr>
                <w:rFonts w:hint="eastAsia" w:ascii="仿宋" w:hAnsi="仿宋" w:eastAsia="仿宋" w:cs="仿宋"/>
                <w:color w:val="auto"/>
                <w:sz w:val="21"/>
                <w:szCs w:val="21"/>
                <w:highlight w:val="none"/>
              </w:rPr>
              <w:t>；</w:t>
            </w:r>
          </w:p>
          <w:p>
            <w:pPr>
              <w:spacing w:line="240" w:lineRule="auto"/>
              <w:ind w:left="42" w:leftChars="20" w:right="42" w:rightChars="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三</w:t>
            </w:r>
            <w:r>
              <w:rPr>
                <w:rFonts w:hint="eastAsia" w:ascii="仿宋" w:hAnsi="仿宋" w:eastAsia="仿宋" w:cs="仿宋"/>
                <w:color w:val="auto"/>
                <w:sz w:val="21"/>
                <w:szCs w:val="21"/>
                <w:highlight w:val="none"/>
              </w:rPr>
              <w:t>档（</w:t>
            </w:r>
            <w:r>
              <w:rPr>
                <w:rFonts w:hint="eastAsia" w:ascii="仿宋" w:hAnsi="仿宋" w:eastAsia="仿宋" w:cs="仿宋"/>
                <w:color w:val="auto"/>
                <w:sz w:val="21"/>
                <w:szCs w:val="21"/>
                <w:highlight w:val="none"/>
                <w:lang w:val="en-US" w:eastAsia="zh-CN"/>
              </w:rPr>
              <w:t>9</w:t>
            </w:r>
            <w:r>
              <w:rPr>
                <w:rFonts w:hint="eastAsia" w:ascii="仿宋" w:hAnsi="仿宋" w:eastAsia="仿宋" w:cs="仿宋"/>
                <w:color w:val="auto"/>
                <w:sz w:val="21"/>
                <w:szCs w:val="21"/>
                <w:highlight w:val="none"/>
              </w:rPr>
              <w:t>分）：承诺采购人/审批部门评审</w:t>
            </w:r>
            <w:r>
              <w:rPr>
                <w:rFonts w:hint="eastAsia" w:ascii="仿宋" w:hAnsi="仿宋" w:eastAsia="仿宋" w:cs="仿宋"/>
                <w:color w:val="auto"/>
                <w:sz w:val="21"/>
                <w:szCs w:val="21"/>
                <w:highlight w:val="none"/>
                <w:lang w:eastAsia="zh-CN"/>
              </w:rPr>
              <w:t>等</w:t>
            </w:r>
            <w:r>
              <w:rPr>
                <w:rFonts w:hint="eastAsia" w:ascii="仿宋" w:hAnsi="仿宋" w:eastAsia="仿宋" w:cs="仿宋"/>
                <w:color w:val="auto"/>
                <w:sz w:val="21"/>
                <w:szCs w:val="21"/>
                <w:highlight w:val="none"/>
              </w:rPr>
              <w:t>修改意见</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3个工作日完成单次修改，</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48小时响应答疑需求，指定1名专职对接</w:t>
            </w:r>
            <w:r>
              <w:rPr>
                <w:rFonts w:hint="eastAsia" w:ascii="仿宋" w:hAnsi="仿宋" w:eastAsia="仿宋" w:cs="仿宋"/>
                <w:color w:val="auto"/>
                <w:sz w:val="21"/>
                <w:szCs w:val="21"/>
                <w:highlight w:val="none"/>
                <w:lang w:eastAsia="zh-CN"/>
              </w:rPr>
              <w:t>人员</w:t>
            </w:r>
            <w:r>
              <w:rPr>
                <w:rFonts w:hint="eastAsia" w:ascii="仿宋" w:hAnsi="仿宋" w:eastAsia="仿宋" w:cs="仿宋"/>
                <w:color w:val="auto"/>
                <w:sz w:val="21"/>
                <w:szCs w:val="21"/>
                <w:highlight w:val="none"/>
              </w:rPr>
              <w:t>全程对接，报批阶段有专人配合，</w:t>
            </w:r>
            <w:r>
              <w:rPr>
                <w:rFonts w:hint="eastAsia" w:ascii="仿宋" w:hAnsi="仿宋" w:eastAsia="仿宋" w:cs="仿宋"/>
                <w:color w:val="auto"/>
                <w:sz w:val="21"/>
                <w:szCs w:val="21"/>
                <w:highlight w:val="none"/>
                <w:lang w:val="en-US" w:eastAsia="zh-CN"/>
              </w:rPr>
              <w:t>在编写报告过程中的保密措施、能有效保证技术质量，达到承诺的质量标准等，服务及时，有优惠服务承诺</w:t>
            </w:r>
            <w:r>
              <w:rPr>
                <w:rFonts w:hint="eastAsia" w:ascii="仿宋" w:hAnsi="仿宋" w:eastAsia="仿宋" w:cs="仿宋"/>
                <w:color w:val="auto"/>
                <w:sz w:val="21"/>
                <w:szCs w:val="21"/>
                <w:highlight w:val="none"/>
              </w:rPr>
              <w:t>；</w:t>
            </w:r>
          </w:p>
          <w:p>
            <w:pPr>
              <w:spacing w:line="240" w:lineRule="auto"/>
              <w:ind w:left="42" w:leftChars="20" w:right="42" w:rightChars="2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注：供应商</w:t>
            </w:r>
            <w:r>
              <w:rPr>
                <w:rFonts w:hint="eastAsia" w:ascii="仿宋" w:hAnsi="仿宋" w:eastAsia="仿宋" w:cs="仿宋"/>
                <w:color w:val="auto"/>
                <w:sz w:val="21"/>
                <w:szCs w:val="21"/>
                <w:highlight w:val="none"/>
              </w:rPr>
              <w:t>未提供</w:t>
            </w:r>
            <w:r>
              <w:rPr>
                <w:rFonts w:hint="eastAsia" w:ascii="仿宋" w:hAnsi="仿宋" w:eastAsia="仿宋" w:cs="仿宋"/>
                <w:color w:val="auto"/>
                <w:sz w:val="21"/>
                <w:szCs w:val="21"/>
                <w:highlight w:val="none"/>
                <w:lang w:eastAsia="zh-CN"/>
              </w:rPr>
              <w:t>相应的项目实施方案</w:t>
            </w:r>
            <w:r>
              <w:rPr>
                <w:rFonts w:hint="eastAsia" w:ascii="仿宋" w:hAnsi="仿宋" w:eastAsia="仿宋" w:cs="仿宋"/>
                <w:color w:val="auto"/>
                <w:sz w:val="21"/>
                <w:szCs w:val="21"/>
                <w:highlight w:val="none"/>
              </w:rPr>
              <w:t>或</w:t>
            </w:r>
            <w:r>
              <w:rPr>
                <w:rFonts w:hint="eastAsia" w:ascii="仿宋" w:hAnsi="仿宋" w:eastAsia="仿宋" w:cs="仿宋"/>
                <w:color w:val="auto"/>
                <w:sz w:val="21"/>
                <w:szCs w:val="21"/>
                <w:highlight w:val="none"/>
                <w:lang w:eastAsia="zh-CN"/>
              </w:rPr>
              <w:t>所提供的项目实施方案相应内容</w:t>
            </w:r>
            <w:r>
              <w:rPr>
                <w:rFonts w:hint="eastAsia" w:ascii="仿宋" w:hAnsi="仿宋" w:eastAsia="仿宋" w:cs="仿宋"/>
                <w:color w:val="auto"/>
                <w:sz w:val="21"/>
                <w:szCs w:val="21"/>
                <w:highlight w:val="none"/>
              </w:rPr>
              <w:t>未达到一档标准要求的，</w:t>
            </w:r>
            <w:r>
              <w:rPr>
                <w:rFonts w:hint="eastAsia" w:ascii="仿宋" w:hAnsi="仿宋" w:eastAsia="仿宋" w:cs="仿宋"/>
                <w:color w:val="auto"/>
                <w:sz w:val="21"/>
                <w:szCs w:val="21"/>
                <w:highlight w:val="none"/>
                <w:lang w:eastAsia="zh-CN"/>
              </w:rPr>
              <w:t>相应不予计分。</w:t>
            </w:r>
          </w:p>
          <w:p>
            <w:pPr>
              <w:spacing w:line="240" w:lineRule="auto"/>
              <w:ind w:left="42" w:leftChars="20" w:right="42" w:rightChars="20"/>
              <w:rPr>
                <w:rFonts w:hint="eastAsia" w:ascii="仿宋" w:hAnsi="仿宋" w:eastAsia="仿宋" w:cs="仿宋"/>
                <w:color w:val="auto"/>
                <w:sz w:val="21"/>
                <w:szCs w:val="21"/>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5" w:hRule="atLeast"/>
        </w:trPr>
        <w:tc>
          <w:tcPr>
            <w:tcW w:w="333" w:type="pct"/>
            <w:noWrap w:val="0"/>
            <w:vAlign w:val="center"/>
          </w:tcPr>
          <w:p>
            <w:pPr>
              <w:pStyle w:val="22"/>
              <w:adjustRightInd/>
              <w:snapToGrid/>
              <w:spacing w:before="36" w:line="240" w:lineRule="auto"/>
              <w:ind w:left="105" w:leftChars="50"/>
              <w:jc w:val="center"/>
              <w:rPr>
                <w:rFonts w:hint="eastAsia" w:ascii="仿宋" w:hAnsi="仿宋" w:eastAsia="仿宋" w:cs="仿宋"/>
                <w:b/>
                <w:color w:val="auto"/>
                <w:spacing w:val="6"/>
                <w:lang w:eastAsia="zh-CN"/>
              </w:rPr>
            </w:pPr>
            <w:r>
              <w:rPr>
                <w:rFonts w:hint="eastAsia" w:ascii="仿宋" w:hAnsi="仿宋" w:eastAsia="仿宋" w:cs="仿宋"/>
                <w:b/>
                <w:color w:val="auto"/>
                <w:spacing w:val="6"/>
                <w:lang w:eastAsia="zh-CN"/>
              </w:rPr>
              <w:t>3</w:t>
            </w:r>
          </w:p>
        </w:tc>
        <w:tc>
          <w:tcPr>
            <w:tcW w:w="702" w:type="pct"/>
            <w:noWrap w:val="0"/>
            <w:vAlign w:val="center"/>
          </w:tcPr>
          <w:p>
            <w:pPr>
              <w:spacing w:line="240" w:lineRule="auto"/>
              <w:ind w:left="27" w:leftChars="13" w:firstLine="27" w:firstLineChars="13"/>
              <w:jc w:val="center"/>
              <w:rPr>
                <w:rFonts w:hint="eastAsia" w:ascii="仿宋" w:hAnsi="仿宋" w:eastAsia="仿宋" w:cs="仿宋"/>
                <w:b/>
                <w:bCs/>
                <w:color w:val="auto"/>
                <w:kern w:val="0"/>
                <w:szCs w:val="21"/>
                <w:highlight w:val="none"/>
                <w:lang w:val="en-US" w:eastAsia="zh-CN"/>
              </w:rPr>
            </w:pPr>
            <w:r>
              <w:rPr>
                <w:rFonts w:hint="eastAsia" w:ascii="仿宋" w:hAnsi="仿宋" w:eastAsia="仿宋" w:cs="仿宋"/>
                <w:b/>
                <w:bCs/>
                <w:color w:val="auto"/>
                <w:kern w:val="0"/>
                <w:szCs w:val="21"/>
                <w:highlight w:val="none"/>
                <w:lang w:val="en-US" w:eastAsia="zh-CN"/>
              </w:rPr>
              <w:t>业绩分</w:t>
            </w:r>
          </w:p>
          <w:p>
            <w:pPr>
              <w:pStyle w:val="22"/>
              <w:adjustRightInd/>
              <w:snapToGrid/>
              <w:spacing w:before="36" w:line="240" w:lineRule="auto"/>
              <w:ind w:left="105" w:leftChars="50"/>
              <w:jc w:val="center"/>
              <w:rPr>
                <w:rFonts w:hint="eastAsia" w:ascii="仿宋" w:hAnsi="仿宋" w:eastAsia="仿宋" w:cs="仿宋"/>
                <w:b/>
                <w:color w:val="auto"/>
                <w:szCs w:val="24"/>
              </w:rPr>
            </w:pPr>
            <w:r>
              <w:rPr>
                <w:rFonts w:hint="eastAsia" w:ascii="仿宋" w:hAnsi="仿宋" w:eastAsia="仿宋" w:cs="仿宋"/>
                <w:b/>
                <w:bCs/>
                <w:color w:val="auto"/>
                <w:kern w:val="0"/>
                <w:szCs w:val="21"/>
                <w:highlight w:val="none"/>
                <w:lang w:val="en-US" w:eastAsia="zh-CN"/>
              </w:rPr>
              <w:t>（12分）</w:t>
            </w:r>
          </w:p>
          <w:p>
            <w:pPr>
              <w:pStyle w:val="22"/>
              <w:adjustRightInd/>
              <w:snapToGrid/>
              <w:spacing w:before="36" w:line="240" w:lineRule="auto"/>
              <w:ind w:left="105" w:leftChars="50"/>
              <w:jc w:val="center"/>
              <w:rPr>
                <w:rFonts w:hint="eastAsia" w:ascii="仿宋" w:hAnsi="仿宋" w:eastAsia="仿宋" w:cs="仿宋"/>
                <w:b/>
                <w:color w:val="auto"/>
                <w:szCs w:val="24"/>
              </w:rPr>
            </w:pPr>
            <w:r>
              <w:rPr>
                <w:rFonts w:hint="eastAsia" w:ascii="仿宋" w:hAnsi="仿宋" w:eastAsia="仿宋" w:cs="仿宋"/>
                <w:b/>
                <w:color w:val="auto"/>
                <w:szCs w:val="24"/>
              </w:rPr>
              <w:t xml:space="preserve"> </w:t>
            </w:r>
          </w:p>
        </w:tc>
        <w:tc>
          <w:tcPr>
            <w:tcW w:w="3964" w:type="pct"/>
            <w:gridSpan w:val="2"/>
            <w:noWrap w:val="0"/>
            <w:vAlign w:val="center"/>
          </w:tcPr>
          <w:p>
            <w:pPr>
              <w:spacing w:line="240" w:lineRule="auto"/>
              <w:ind w:right="42" w:rightChars="20"/>
              <w:rPr>
                <w:rFonts w:hint="eastAsia" w:ascii="仿宋" w:hAnsi="仿宋" w:eastAsia="仿宋" w:cs="仿宋"/>
              </w:rPr>
            </w:pPr>
            <w:r>
              <w:rPr>
                <w:rFonts w:hint="eastAsia" w:ascii="仿宋" w:hAnsi="仿宋" w:eastAsia="仿宋" w:cs="仿宋"/>
                <w:lang w:val="en-US" w:eastAsia="zh-CN"/>
              </w:rPr>
              <w:t xml:space="preserve">2024年 1 月 1 日以来供应商承接过类似项目前期咨询项目的，每项得 2分，满分12分。 </w:t>
            </w:r>
          </w:p>
          <w:p>
            <w:pPr>
              <w:spacing w:line="240" w:lineRule="auto"/>
              <w:ind w:left="42" w:leftChars="20" w:right="42" w:rightChars="20"/>
              <w:rPr>
                <w:rFonts w:hint="eastAsia" w:ascii="仿宋" w:hAnsi="仿宋" w:eastAsia="仿宋" w:cs="仿宋"/>
              </w:rPr>
            </w:pPr>
            <w:r>
              <w:rPr>
                <w:rFonts w:hint="eastAsia" w:ascii="仿宋" w:hAnsi="仿宋" w:eastAsia="仿宋" w:cs="仿宋"/>
                <w:lang w:val="en-US" w:eastAsia="zh-CN"/>
              </w:rPr>
              <w:t xml:space="preserve">注：提供 2024 年 1 月 1 日以来完成过类似业绩中标通知书或合同复印件，并加盖公章。同一个编号的项目有两个或两个以上的分标中标的只算一次。 </w:t>
            </w:r>
          </w:p>
          <w:p>
            <w:pPr>
              <w:spacing w:line="240" w:lineRule="auto"/>
              <w:ind w:left="42" w:leftChars="20" w:right="42" w:rightChars="20"/>
              <w:rPr>
                <w:rFonts w:hint="eastAsia" w:ascii="仿宋" w:hAnsi="仿宋" w:eastAsia="仿宋" w:cs="仿宋"/>
                <w:color w:val="auto"/>
              </w:rPr>
            </w:pPr>
            <w:r>
              <w:rPr>
                <w:rFonts w:hint="eastAsia" w:ascii="仿宋" w:hAnsi="仿宋" w:eastAsia="仿宋" w:cs="仿宋"/>
                <w:lang w:val="en-US" w:eastAsia="zh-CN"/>
              </w:rPr>
              <w:t>类似项目：指设备更新的项目建议书或可行性研究报告编制工作。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trPr>
        <w:tc>
          <w:tcPr>
            <w:tcW w:w="333" w:type="pct"/>
            <w:noWrap w:val="0"/>
            <w:vAlign w:val="center"/>
          </w:tcPr>
          <w:p>
            <w:pPr>
              <w:pStyle w:val="22"/>
              <w:adjustRightInd/>
              <w:snapToGrid/>
              <w:spacing w:before="36" w:line="240" w:lineRule="auto"/>
              <w:ind w:left="105" w:leftChars="50"/>
              <w:jc w:val="center"/>
              <w:rPr>
                <w:rFonts w:hint="eastAsia" w:ascii="仿宋" w:hAnsi="仿宋" w:eastAsia="仿宋" w:cs="仿宋"/>
                <w:b/>
                <w:color w:val="auto"/>
                <w:spacing w:val="6"/>
                <w:lang w:eastAsia="zh-CN"/>
              </w:rPr>
            </w:pPr>
            <w:r>
              <w:rPr>
                <w:rFonts w:hint="eastAsia" w:ascii="仿宋" w:hAnsi="仿宋" w:eastAsia="仿宋" w:cs="仿宋"/>
                <w:b/>
                <w:color w:val="auto"/>
                <w:spacing w:val="6"/>
                <w:lang w:eastAsia="zh-CN"/>
              </w:rPr>
              <w:t>4</w:t>
            </w:r>
          </w:p>
        </w:tc>
        <w:tc>
          <w:tcPr>
            <w:tcW w:w="702" w:type="pct"/>
            <w:noWrap w:val="0"/>
            <w:vAlign w:val="center"/>
          </w:tcPr>
          <w:p>
            <w:pPr>
              <w:spacing w:line="240" w:lineRule="auto"/>
              <w:ind w:left="42" w:leftChars="20" w:right="42" w:rightChars="20" w:firstLine="59"/>
              <w:jc w:val="center"/>
              <w:rPr>
                <w:rFonts w:hint="eastAsia" w:ascii="仿宋" w:hAnsi="仿宋" w:eastAsia="仿宋" w:cs="仿宋"/>
                <w:b/>
                <w:bCs/>
                <w:color w:val="auto"/>
                <w:kern w:val="0"/>
                <w:szCs w:val="21"/>
                <w:highlight w:val="none"/>
                <w:lang w:val="en-US" w:eastAsia="zh-CN"/>
              </w:rPr>
            </w:pPr>
            <w:r>
              <w:rPr>
                <w:rFonts w:hint="eastAsia" w:ascii="仿宋" w:hAnsi="仿宋" w:eastAsia="仿宋" w:cs="仿宋"/>
                <w:b/>
                <w:bCs/>
                <w:color w:val="auto"/>
                <w:kern w:val="0"/>
                <w:szCs w:val="21"/>
                <w:highlight w:val="none"/>
                <w:lang w:val="en-US" w:eastAsia="zh-CN"/>
              </w:rPr>
              <w:t>履约能力分</w:t>
            </w:r>
          </w:p>
          <w:p>
            <w:pPr>
              <w:pStyle w:val="22"/>
              <w:adjustRightInd/>
              <w:snapToGrid/>
              <w:spacing w:before="36" w:line="240" w:lineRule="auto"/>
              <w:ind w:left="105" w:leftChars="50"/>
              <w:jc w:val="center"/>
              <w:rPr>
                <w:rFonts w:hint="eastAsia" w:ascii="仿宋" w:hAnsi="仿宋" w:eastAsia="仿宋" w:cs="仿宋"/>
                <w:b/>
                <w:color w:val="auto"/>
                <w:szCs w:val="24"/>
              </w:rPr>
            </w:pPr>
            <w:r>
              <w:rPr>
                <w:rFonts w:hint="eastAsia" w:ascii="仿宋" w:hAnsi="仿宋" w:eastAsia="仿宋" w:cs="仿宋"/>
                <w:b/>
                <w:bCs/>
                <w:color w:val="auto"/>
                <w:kern w:val="0"/>
                <w:szCs w:val="21"/>
                <w:highlight w:val="none"/>
                <w:lang w:val="en-US" w:eastAsia="zh-CN"/>
              </w:rPr>
              <w:t>（10分）</w:t>
            </w:r>
          </w:p>
        </w:tc>
        <w:tc>
          <w:tcPr>
            <w:tcW w:w="3964" w:type="pct"/>
            <w:gridSpan w:val="2"/>
            <w:noWrap w:val="0"/>
            <w:vAlign w:val="center"/>
          </w:tcPr>
          <w:p>
            <w:pPr>
              <w:spacing w:line="240" w:lineRule="auto"/>
              <w:ind w:right="42" w:rightChars="20"/>
              <w:rPr>
                <w:rFonts w:hint="eastAsia" w:ascii="仿宋" w:hAnsi="仿宋" w:eastAsia="仿宋" w:cs="仿宋"/>
                <w:b w:val="0"/>
                <w:bCs w:val="0"/>
                <w:color w:val="auto"/>
                <w:kern w:val="0"/>
                <w:szCs w:val="21"/>
                <w:highlight w:val="none"/>
                <w:lang w:val="en-US" w:eastAsia="zh-CN"/>
              </w:rPr>
            </w:pPr>
            <w:r>
              <w:rPr>
                <w:rFonts w:hint="eastAsia" w:ascii="仿宋" w:hAnsi="仿宋" w:eastAsia="仿宋" w:cs="仿宋"/>
                <w:b w:val="0"/>
                <w:bCs w:val="0"/>
                <w:color w:val="auto"/>
                <w:kern w:val="0"/>
                <w:szCs w:val="21"/>
                <w:highlight w:val="none"/>
                <w:lang w:val="en-US" w:eastAsia="zh-CN"/>
              </w:rPr>
              <w:t>1.供应商拟投入的项目负责人具有高级工程师职称且具有咨询工程师(投资)执业资格，得4分；具有工程师职称且具有咨询工程师(投资)执业资格得2分;注册单位与供应商单位必须一致。。</w:t>
            </w:r>
          </w:p>
          <w:p>
            <w:pPr>
              <w:spacing w:line="240" w:lineRule="auto"/>
              <w:ind w:left="42" w:leftChars="20" w:right="42" w:rightChars="20" w:firstLine="59"/>
              <w:rPr>
                <w:rFonts w:hint="eastAsia" w:ascii="仿宋" w:hAnsi="仿宋" w:eastAsia="仿宋" w:cs="仿宋"/>
                <w:b w:val="0"/>
                <w:bCs w:val="0"/>
                <w:color w:val="auto"/>
                <w:kern w:val="0"/>
                <w:szCs w:val="21"/>
                <w:highlight w:val="none"/>
                <w:lang w:val="en-US" w:eastAsia="zh-CN"/>
              </w:rPr>
            </w:pPr>
            <w:r>
              <w:rPr>
                <w:rFonts w:hint="eastAsia" w:ascii="仿宋" w:hAnsi="仿宋" w:eastAsia="仿宋" w:cs="仿宋"/>
                <w:b w:val="0"/>
                <w:bCs w:val="0"/>
                <w:color w:val="auto"/>
                <w:kern w:val="0"/>
                <w:szCs w:val="21"/>
                <w:highlight w:val="none"/>
                <w:lang w:val="en-US" w:eastAsia="zh-CN"/>
              </w:rPr>
              <w:t>2.供应商投入本项目其他人员（项目负责人除外）中持有有效的高级工程师职称证书的，每提供一个得2分;持有有效的中级工程师职称证书的，每提供一个得1分;满分6分。</w:t>
            </w:r>
          </w:p>
          <w:p>
            <w:pPr>
              <w:spacing w:line="240" w:lineRule="auto"/>
              <w:ind w:left="42" w:leftChars="20" w:right="42" w:rightChars="20" w:firstLine="59"/>
              <w:rPr>
                <w:rFonts w:hint="eastAsia" w:ascii="仿宋" w:hAnsi="仿宋" w:eastAsia="仿宋" w:cs="仿宋"/>
                <w:b w:val="0"/>
                <w:bCs w:val="0"/>
                <w:color w:val="auto"/>
                <w:kern w:val="0"/>
                <w:szCs w:val="21"/>
                <w:highlight w:val="none"/>
                <w:lang w:val="en-US" w:eastAsia="zh-CN"/>
              </w:rPr>
            </w:pPr>
            <w:r>
              <w:rPr>
                <w:rFonts w:hint="eastAsia" w:ascii="仿宋" w:hAnsi="仿宋" w:eastAsia="仿宋" w:cs="仿宋"/>
                <w:b w:val="0"/>
                <w:bCs w:val="0"/>
                <w:color w:val="auto"/>
                <w:kern w:val="0"/>
                <w:szCs w:val="21"/>
                <w:highlight w:val="none"/>
                <w:lang w:val="en-US" w:eastAsia="zh-CN"/>
              </w:rPr>
              <w:t>注：供应商于响应文件中</w:t>
            </w:r>
            <w:r>
              <w:rPr>
                <w:rFonts w:hint="eastAsia" w:ascii="仿宋" w:hAnsi="仿宋" w:eastAsia="仿宋" w:cs="仿宋"/>
                <w:b w:val="0"/>
                <w:bCs w:val="0"/>
                <w:color w:val="auto"/>
                <w:kern w:val="0"/>
                <w:szCs w:val="21"/>
                <w:highlight w:val="none"/>
              </w:rPr>
              <w:t>提供</w:t>
            </w:r>
            <w:r>
              <w:rPr>
                <w:rFonts w:hint="eastAsia" w:ascii="仿宋" w:hAnsi="仿宋" w:eastAsia="仿宋" w:cs="仿宋"/>
                <w:b w:val="0"/>
                <w:bCs w:val="0"/>
                <w:color w:val="auto"/>
                <w:kern w:val="0"/>
                <w:szCs w:val="21"/>
                <w:highlight w:val="none"/>
                <w:lang w:eastAsia="zh-CN"/>
              </w:rPr>
              <w:t>上述人员</w:t>
            </w:r>
            <w:r>
              <w:rPr>
                <w:rFonts w:hint="eastAsia" w:ascii="仿宋" w:hAnsi="仿宋" w:eastAsia="仿宋" w:cs="仿宋"/>
                <w:b w:val="0"/>
                <w:bCs w:val="0"/>
                <w:color w:val="auto"/>
                <w:kern w:val="0"/>
                <w:szCs w:val="21"/>
                <w:highlight w:val="none"/>
              </w:rPr>
              <w:t>相应</w:t>
            </w:r>
            <w:r>
              <w:rPr>
                <w:rFonts w:hint="eastAsia" w:ascii="仿宋" w:hAnsi="仿宋" w:eastAsia="仿宋" w:cs="仿宋"/>
                <w:b w:val="0"/>
                <w:bCs w:val="0"/>
                <w:color w:val="auto"/>
                <w:kern w:val="0"/>
                <w:szCs w:val="21"/>
                <w:highlight w:val="none"/>
                <w:lang w:eastAsia="zh-CN"/>
              </w:rPr>
              <w:t>职称</w:t>
            </w:r>
            <w:r>
              <w:rPr>
                <w:rFonts w:hint="eastAsia" w:ascii="仿宋" w:hAnsi="仿宋" w:eastAsia="仿宋" w:cs="仿宋"/>
                <w:b w:val="0"/>
                <w:bCs w:val="0"/>
                <w:color w:val="auto"/>
                <w:kern w:val="0"/>
                <w:szCs w:val="21"/>
                <w:highlight w:val="none"/>
                <w:lang w:val="en-US" w:eastAsia="zh-CN"/>
              </w:rPr>
              <w:t>/</w:t>
            </w:r>
            <w:r>
              <w:rPr>
                <w:rFonts w:hint="eastAsia" w:ascii="仿宋" w:hAnsi="仿宋" w:eastAsia="仿宋" w:cs="仿宋"/>
                <w:b w:val="0"/>
                <w:bCs w:val="0"/>
                <w:color w:val="auto"/>
                <w:kern w:val="0"/>
                <w:szCs w:val="21"/>
                <w:highlight w:val="none"/>
              </w:rPr>
              <w:t>执业</w:t>
            </w:r>
            <w:r>
              <w:rPr>
                <w:rFonts w:hint="eastAsia" w:ascii="仿宋" w:hAnsi="仿宋" w:eastAsia="仿宋" w:cs="仿宋"/>
                <w:b w:val="0"/>
                <w:bCs w:val="0"/>
                <w:color w:val="auto"/>
                <w:kern w:val="0"/>
                <w:szCs w:val="21"/>
                <w:highlight w:val="none"/>
                <w:lang w:eastAsia="zh-CN"/>
              </w:rPr>
              <w:t>资格</w:t>
            </w:r>
            <w:r>
              <w:rPr>
                <w:rFonts w:hint="eastAsia" w:ascii="仿宋" w:hAnsi="仿宋" w:eastAsia="仿宋" w:cs="仿宋"/>
                <w:b w:val="0"/>
                <w:bCs w:val="0"/>
                <w:color w:val="auto"/>
                <w:kern w:val="0"/>
                <w:szCs w:val="21"/>
                <w:highlight w:val="none"/>
              </w:rPr>
              <w:t>证书</w:t>
            </w:r>
            <w:r>
              <w:rPr>
                <w:rFonts w:hint="eastAsia" w:ascii="仿宋" w:hAnsi="仿宋" w:eastAsia="仿宋" w:cs="仿宋"/>
                <w:b w:val="0"/>
                <w:bCs w:val="0"/>
                <w:color w:val="auto"/>
                <w:kern w:val="0"/>
                <w:szCs w:val="21"/>
                <w:highlight w:val="none"/>
                <w:lang w:val="en-US" w:eastAsia="zh-CN"/>
              </w:rPr>
              <w:t>，</w:t>
            </w:r>
            <w:r>
              <w:rPr>
                <w:rFonts w:hint="eastAsia" w:ascii="仿宋" w:hAnsi="仿宋" w:eastAsia="仿宋" w:cs="仿宋"/>
                <w:b w:val="0"/>
                <w:bCs w:val="0"/>
                <w:color w:val="auto"/>
                <w:kern w:val="0"/>
                <w:szCs w:val="21"/>
                <w:highlight w:val="none"/>
                <w:lang w:eastAsia="zh-CN"/>
              </w:rPr>
              <w:t>否则不予计分</w:t>
            </w:r>
            <w:r>
              <w:rPr>
                <w:rFonts w:hint="eastAsia" w:ascii="仿宋" w:hAnsi="仿宋" w:eastAsia="仿宋" w:cs="仿宋"/>
                <w:b w:val="0"/>
                <w:bCs w:val="0"/>
                <w:color w:val="auto"/>
                <w:kern w:val="0"/>
                <w:szCs w:val="21"/>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000" w:type="pct"/>
            <w:gridSpan w:val="4"/>
            <w:noWrap w:val="0"/>
            <w:vAlign w:val="center"/>
          </w:tcPr>
          <w:p>
            <w:pPr>
              <w:keepNext w:val="0"/>
              <w:keepLines w:val="0"/>
              <w:widowControl/>
              <w:suppressLineNumbers w:val="0"/>
              <w:spacing w:line="240" w:lineRule="auto"/>
              <w:jc w:val="left"/>
              <w:rPr>
                <w:rFonts w:hint="eastAsia" w:ascii="仿宋" w:hAnsi="仿宋" w:eastAsia="仿宋" w:cs="仿宋"/>
                <w:b w:val="0"/>
                <w:bCs w:val="0"/>
                <w:color w:val="auto"/>
                <w:kern w:val="0"/>
                <w:szCs w:val="21"/>
                <w:highlight w:val="none"/>
                <w:lang w:val="en-US" w:eastAsia="zh-CN"/>
              </w:rPr>
            </w:pPr>
            <w:r>
              <w:rPr>
                <w:rFonts w:hint="eastAsia" w:ascii="仿宋" w:hAnsi="仿宋" w:eastAsia="仿宋" w:cs="仿宋"/>
                <w:b/>
                <w:bCs/>
                <w:color w:val="000000"/>
                <w:kern w:val="0"/>
                <w:sz w:val="24"/>
                <w:szCs w:val="24"/>
                <w:lang w:val="en-US" w:eastAsia="zh-CN" w:bidi="ar"/>
              </w:rPr>
              <w:t>综合得分＝1+2+3+4</w:t>
            </w:r>
          </w:p>
        </w:tc>
      </w:tr>
    </w:tbl>
    <w:p>
      <w:pPr>
        <w:pStyle w:val="3"/>
        <w:numPr>
          <w:ilvl w:val="0"/>
          <w:numId w:val="0"/>
        </w:numPr>
        <w:tabs>
          <w:tab w:val="left" w:pos="1204"/>
        </w:tabs>
        <w:topLinePunct w:val="0"/>
        <w:spacing w:line="240" w:lineRule="auto"/>
        <w:ind w:leftChars="200"/>
        <w:rPr>
          <w:rFonts w:hint="eastAsia" w:ascii="仿宋" w:hAnsi="仿宋" w:eastAsia="仿宋" w:cs="仿宋"/>
          <w:highlight w:val="none"/>
        </w:rPr>
      </w:pPr>
    </w:p>
    <w:p>
      <w:pPr>
        <w:pStyle w:val="3"/>
        <w:numPr>
          <w:ilvl w:val="0"/>
          <w:numId w:val="12"/>
        </w:numPr>
        <w:tabs>
          <w:tab w:val="left" w:pos="1204"/>
        </w:tabs>
        <w:topLinePunct w:val="0"/>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推荐及确定成交候选供应商原则</w:t>
      </w:r>
    </w:p>
    <w:p>
      <w:pPr>
        <w:pStyle w:val="12"/>
        <w:numPr>
          <w:ilvl w:val="0"/>
          <w:numId w:val="15"/>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评审小组应当根据综合得分情况，按照综合得分由高到低顺序推荐成交候选供应商，并编写评审报告。评审小组根据综合得分由高到低排列次序，若得分相同时，以最后报价由低到高顺序排列；若仍相同的：依次按项目综合性能分、企业业绩及履约能力分由高到低顺序排列并推荐成交候选供应商。</w:t>
      </w:r>
    </w:p>
    <w:p>
      <w:pPr>
        <w:pStyle w:val="12"/>
        <w:numPr>
          <w:ilvl w:val="0"/>
          <w:numId w:val="15"/>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本项目确定一名成交供应商。采购人应当确定评审小组推荐排名第一的成交候选供应商为成交供应商。</w:t>
      </w:r>
    </w:p>
    <w:p>
      <w:pPr>
        <w:pStyle w:val="12"/>
        <w:numPr>
          <w:ilvl w:val="0"/>
          <w:numId w:val="15"/>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排名第一的成交候选供应商放弃成交、因不可抗力提出不能履行合同，或因失信行为被取消成交候选供应商资格的，采购人可以确定排名第二的成交候选供应商为成交供应商。</w:t>
      </w:r>
    </w:p>
    <w:p>
      <w:pPr>
        <w:pStyle w:val="12"/>
        <w:numPr>
          <w:ilvl w:val="0"/>
          <w:numId w:val="15"/>
        </w:numPr>
        <w:tabs>
          <w:tab w:val="left" w:pos="780"/>
          <w:tab w:val="clear" w:pos="210"/>
        </w:tabs>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排名第二的成交候选供应商因前款规定的同样原因不能签订合同的，采购单位可以确定排名第三的成交候选供应商为成交供应商，以此类推。</w:t>
      </w:r>
    </w:p>
    <w:p>
      <w:pPr>
        <w:pStyle w:val="2"/>
        <w:numPr>
          <w:ilvl w:val="0"/>
          <w:numId w:val="3"/>
        </w:numPr>
        <w:tabs>
          <w:tab w:val="left" w:pos="963"/>
        </w:tabs>
        <w:topLinePunct w:val="0"/>
        <w:spacing w:line="240" w:lineRule="auto"/>
        <w:ind w:left="0" w:leftChars="0" w:firstLine="482" w:firstLineChars="200"/>
        <w:rPr>
          <w:rFonts w:hint="eastAsia" w:ascii="仿宋" w:hAnsi="仿宋" w:eastAsia="仿宋" w:cs="仿宋"/>
          <w:b/>
          <w:highlight w:val="none"/>
        </w:rPr>
      </w:pPr>
      <w:r>
        <w:rPr>
          <w:rFonts w:hint="eastAsia" w:ascii="仿宋" w:hAnsi="仿宋" w:eastAsia="仿宋" w:cs="仿宋"/>
          <w:highlight w:val="none"/>
        </w:rPr>
        <w:t>响应文件（格式）</w:t>
      </w:r>
    </w:p>
    <w:p>
      <w:pPr>
        <w:pStyle w:val="3"/>
        <w:spacing w:line="240" w:lineRule="auto"/>
        <w:ind w:left="0" w:leftChars="0" w:firstLine="482" w:firstLineChars="200"/>
        <w:rPr>
          <w:rFonts w:hint="eastAsia" w:ascii="仿宋" w:hAnsi="仿宋" w:eastAsia="仿宋" w:cs="仿宋"/>
          <w:highlight w:val="none"/>
        </w:rPr>
      </w:pPr>
      <w:r>
        <w:rPr>
          <w:rFonts w:hint="eastAsia" w:ascii="仿宋" w:hAnsi="仿宋" w:eastAsia="仿宋" w:cs="仿宋"/>
          <w:highlight w:val="none"/>
        </w:rPr>
        <w:t>（一）资格性响应证明材料目录</w:t>
      </w:r>
    </w:p>
    <w:p>
      <w:pPr>
        <w:pStyle w:val="12"/>
        <w:numPr>
          <w:ilvl w:val="0"/>
          <w:numId w:val="16"/>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响应函</w:t>
      </w:r>
      <w:r>
        <w:rPr>
          <w:rFonts w:hint="eastAsia" w:ascii="仿宋" w:hAnsi="仿宋" w:eastAsia="仿宋" w:cs="仿宋"/>
          <w:b/>
          <w:color w:val="auto"/>
          <w:sz w:val="24"/>
          <w:highlight w:val="none"/>
        </w:rPr>
        <w:t>（必须提供）；</w:t>
      </w:r>
    </w:p>
    <w:p>
      <w:pPr>
        <w:pStyle w:val="12"/>
        <w:numPr>
          <w:ilvl w:val="0"/>
          <w:numId w:val="16"/>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供应商的法定代表人身份证正反面复印件</w:t>
      </w:r>
      <w:r>
        <w:rPr>
          <w:rFonts w:hint="eastAsia" w:ascii="仿宋" w:hAnsi="仿宋" w:eastAsia="仿宋" w:cs="仿宋"/>
          <w:b/>
          <w:color w:val="auto"/>
          <w:sz w:val="24"/>
          <w:highlight w:val="none"/>
        </w:rPr>
        <w:t>（必须提供）</w:t>
      </w:r>
      <w:r>
        <w:rPr>
          <w:rFonts w:hint="eastAsia" w:ascii="仿宋" w:hAnsi="仿宋" w:eastAsia="仿宋" w:cs="仿宋"/>
          <w:color w:val="auto"/>
          <w:sz w:val="24"/>
          <w:highlight w:val="none"/>
        </w:rPr>
        <w:t>；</w:t>
      </w:r>
    </w:p>
    <w:p>
      <w:pPr>
        <w:pStyle w:val="12"/>
        <w:widowControl/>
        <w:numPr>
          <w:ilvl w:val="0"/>
          <w:numId w:val="16"/>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供应商的授权委托书原件、委托代理人身份证正反面复印件</w:t>
      </w:r>
      <w:r>
        <w:rPr>
          <w:rFonts w:hint="eastAsia" w:ascii="仿宋" w:hAnsi="仿宋" w:eastAsia="仿宋" w:cs="仿宋"/>
          <w:b/>
          <w:color w:val="auto"/>
          <w:sz w:val="24"/>
          <w:highlight w:val="none"/>
        </w:rPr>
        <w:t>（委托代理时必须提供）</w:t>
      </w:r>
      <w:r>
        <w:rPr>
          <w:rFonts w:hint="eastAsia" w:ascii="仿宋" w:hAnsi="仿宋" w:eastAsia="仿宋" w:cs="仿宋"/>
          <w:color w:val="auto"/>
          <w:sz w:val="24"/>
          <w:highlight w:val="none"/>
        </w:rPr>
        <w:t>；</w:t>
      </w:r>
    </w:p>
    <w:p>
      <w:pPr>
        <w:pStyle w:val="12"/>
        <w:numPr>
          <w:ilvl w:val="0"/>
          <w:numId w:val="16"/>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供应商营业执照复印件（必</w:t>
      </w:r>
      <w:r>
        <w:rPr>
          <w:rFonts w:hint="eastAsia" w:ascii="仿宋" w:hAnsi="仿宋" w:eastAsia="仿宋" w:cs="仿宋"/>
          <w:b/>
          <w:color w:val="auto"/>
          <w:sz w:val="24"/>
          <w:highlight w:val="none"/>
        </w:rPr>
        <w:t>须提供）；</w:t>
      </w:r>
    </w:p>
    <w:p>
      <w:pPr>
        <w:pStyle w:val="12"/>
        <w:numPr>
          <w:ilvl w:val="0"/>
          <w:numId w:val="16"/>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供应商在全国投资项目在线审批监管平台完成工程咨询单位备案证明材料</w:t>
      </w:r>
      <w:r>
        <w:rPr>
          <w:rFonts w:hint="eastAsia" w:ascii="仿宋" w:hAnsi="仿宋" w:eastAsia="仿宋" w:cs="仿宋"/>
          <w:b/>
          <w:color w:val="auto"/>
          <w:sz w:val="24"/>
          <w:highlight w:val="none"/>
        </w:rPr>
        <w:t>（必须提供）</w:t>
      </w:r>
      <w:r>
        <w:rPr>
          <w:rFonts w:hint="eastAsia" w:ascii="仿宋" w:hAnsi="仿宋" w:eastAsia="仿宋" w:cs="仿宋"/>
          <w:color w:val="auto"/>
          <w:sz w:val="24"/>
          <w:highlight w:val="none"/>
        </w:rPr>
        <w:t>；</w:t>
      </w:r>
    </w:p>
    <w:p>
      <w:pPr>
        <w:pStyle w:val="12"/>
        <w:numPr>
          <w:ilvl w:val="0"/>
          <w:numId w:val="16"/>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供应商直接控股、管理关系信息表</w:t>
      </w:r>
      <w:r>
        <w:rPr>
          <w:rFonts w:hint="eastAsia" w:ascii="仿宋" w:hAnsi="仿宋" w:eastAsia="仿宋" w:cs="仿宋"/>
          <w:b/>
          <w:color w:val="auto"/>
          <w:sz w:val="24"/>
          <w:highlight w:val="none"/>
        </w:rPr>
        <w:t>（必须提供）；</w:t>
      </w:r>
    </w:p>
    <w:p>
      <w:pPr>
        <w:pStyle w:val="12"/>
        <w:numPr>
          <w:ilvl w:val="0"/>
          <w:numId w:val="16"/>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供应商参加采购活动前3年内在经营活动中没有重大违法记录及有关信用信息的书面声明</w:t>
      </w:r>
      <w:r>
        <w:rPr>
          <w:rFonts w:hint="eastAsia" w:ascii="仿宋" w:hAnsi="仿宋" w:eastAsia="仿宋" w:cs="仿宋"/>
          <w:b/>
          <w:color w:val="auto"/>
          <w:sz w:val="24"/>
          <w:highlight w:val="none"/>
        </w:rPr>
        <w:t>（必须提供）；</w:t>
      </w:r>
    </w:p>
    <w:p>
      <w:pPr>
        <w:pStyle w:val="12"/>
        <w:numPr>
          <w:ilvl w:val="0"/>
          <w:numId w:val="16"/>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供应商在“信用中国”网(www.creditchina.gov.cn)查询网站直接打印的信用查询记录,以及中国政府采购网(www.ccgp.gov.cn)等渠道列入失信被执行人、重大税收违法案件当事人名单、政府采购严重违法失信行为记录名单打印材料</w:t>
      </w:r>
      <w:r>
        <w:rPr>
          <w:rFonts w:hint="eastAsia" w:ascii="仿宋" w:hAnsi="仿宋" w:eastAsia="仿宋" w:cs="仿宋"/>
          <w:b/>
          <w:color w:val="auto"/>
          <w:sz w:val="24"/>
          <w:highlight w:val="none"/>
        </w:rPr>
        <w:t>（必须提供）</w:t>
      </w:r>
      <w:r>
        <w:rPr>
          <w:rFonts w:hint="eastAsia" w:ascii="仿宋" w:hAnsi="仿宋" w:eastAsia="仿宋" w:cs="仿宋"/>
          <w:color w:val="auto"/>
          <w:sz w:val="24"/>
          <w:highlight w:val="none"/>
        </w:rPr>
        <w:t>。</w:t>
      </w:r>
    </w:p>
    <w:p>
      <w:pPr>
        <w:pStyle w:val="12"/>
        <w:numPr>
          <w:ilvl w:val="0"/>
          <w:numId w:val="0"/>
        </w:numPr>
        <w:tabs>
          <w:tab w:val="left" w:pos="780"/>
        </w:tabs>
        <w:spacing w:line="240" w:lineRule="auto"/>
        <w:ind w:firstLine="480" w:firstLineChars="200"/>
        <w:rPr>
          <w:rFonts w:hint="eastAsia" w:ascii="仿宋" w:hAnsi="仿宋" w:eastAsia="仿宋" w:cs="仿宋"/>
          <w:b w:val="0"/>
          <w:sz w:val="24"/>
        </w:rPr>
      </w:pP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响应函</w:t>
      </w:r>
      <w:r>
        <w:rPr>
          <w:rFonts w:hint="eastAsia" w:ascii="仿宋" w:hAnsi="仿宋" w:eastAsia="仿宋" w:cs="仿宋"/>
          <w:b/>
          <w:color w:val="auto"/>
          <w:sz w:val="24"/>
          <w:highlight w:val="none"/>
        </w:rPr>
        <w:t>（必须提供）</w:t>
      </w:r>
    </w:p>
    <w:p>
      <w:pPr>
        <w:pStyle w:val="25"/>
        <w:spacing w:line="240" w:lineRule="auto"/>
        <w:ind w:left="0" w:leftChars="0" w:firstLine="482" w:firstLineChars="200"/>
        <w:outlineLvl w:val="9"/>
        <w:rPr>
          <w:rFonts w:hint="eastAsia" w:ascii="仿宋" w:hAnsi="仿宋" w:eastAsia="仿宋" w:cs="仿宋"/>
          <w:highlight w:val="none"/>
        </w:rPr>
      </w:pPr>
    </w:p>
    <w:p>
      <w:pPr>
        <w:pStyle w:val="25"/>
        <w:spacing w:line="240" w:lineRule="auto"/>
        <w:ind w:left="0" w:leftChars="0" w:firstLine="482" w:firstLineChars="200"/>
        <w:outlineLvl w:val="9"/>
        <w:rPr>
          <w:rFonts w:hint="eastAsia" w:ascii="仿宋" w:hAnsi="仿宋" w:eastAsia="仿宋" w:cs="仿宋"/>
          <w:highlight w:val="none"/>
        </w:rPr>
      </w:pPr>
      <w:r>
        <w:rPr>
          <w:rFonts w:hint="eastAsia" w:ascii="仿宋" w:hAnsi="仿宋" w:eastAsia="仿宋" w:cs="仿宋"/>
          <w:highlight w:val="none"/>
        </w:rPr>
        <w:t>响 应 函 （格 式）</w:t>
      </w:r>
    </w:p>
    <w:p>
      <w:pPr>
        <w:pStyle w:val="12"/>
        <w:spacing w:line="240" w:lineRule="auto"/>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桂林市中西医结合医院 </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根据贵方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项目评审文件，签字代表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（姓名）经正式授权并代表供应商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供应商单位名称），提交响应文件正本一份，副本四份，电子响应文件一份。</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据此函，签字代表宣布同意如下：</w:t>
      </w:r>
    </w:p>
    <w:p>
      <w:pPr>
        <w:pStyle w:val="12"/>
        <w:numPr>
          <w:ilvl w:val="0"/>
          <w:numId w:val="17"/>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报价详见“报价表”。</w:t>
      </w:r>
    </w:p>
    <w:p>
      <w:pPr>
        <w:pStyle w:val="12"/>
        <w:numPr>
          <w:ilvl w:val="0"/>
          <w:numId w:val="17"/>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我方承诺已具备磋商文件规定的供应商资格条件。</w:t>
      </w:r>
    </w:p>
    <w:p>
      <w:pPr>
        <w:pStyle w:val="12"/>
        <w:numPr>
          <w:ilvl w:val="0"/>
          <w:numId w:val="17"/>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我方已详细审核评审文件，包括修改文件（如有的话）和有关附件，将自行承担因对全部评审文件理解不正确或误解而产生的相应后果。</w:t>
      </w:r>
    </w:p>
    <w:p>
      <w:pPr>
        <w:pStyle w:val="12"/>
        <w:numPr>
          <w:ilvl w:val="0"/>
          <w:numId w:val="17"/>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响应文件有效期为响应文件递交截止时间之日起90天。</w:t>
      </w:r>
    </w:p>
    <w:p>
      <w:pPr>
        <w:pStyle w:val="12"/>
        <w:numPr>
          <w:ilvl w:val="0"/>
          <w:numId w:val="17"/>
        </w:numPr>
        <w:tabs>
          <w:tab w:val="left" w:pos="780"/>
          <w:tab w:val="clear" w:pos="210"/>
        </w:tabs>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如我方成交：</w:t>
      </w:r>
    </w:p>
    <w:p>
      <w:pPr>
        <w:pStyle w:val="12"/>
        <w:widowControl/>
        <w:numPr>
          <w:ilvl w:val="0"/>
          <w:numId w:val="18"/>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我方承诺在收到成交通知书后，在成交通知书规定的期限内与采购人签订合同。</w:t>
      </w:r>
    </w:p>
    <w:p>
      <w:pPr>
        <w:pStyle w:val="12"/>
        <w:widowControl/>
        <w:numPr>
          <w:ilvl w:val="0"/>
          <w:numId w:val="18"/>
        </w:numPr>
        <w:tabs>
          <w:tab w:val="left" w:pos="1080"/>
        </w:tabs>
        <w:topLinePunct w:val="0"/>
        <w:spacing w:line="240" w:lineRule="auto"/>
        <w:ind w:left="0" w:leftChars="0"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我方承诺本响应文件至本项目合同履行完毕止均保持有效，按招标文件及采购法律、法规的规定履行合同责任和义务。</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与本项目有关的正式通讯地址为：</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邮编：</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邮箱：</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pPr>
        <w:pStyle w:val="12"/>
        <w:spacing w:line="240" w:lineRule="auto"/>
        <w:ind w:left="0" w:leftChars="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办公电话：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传真：</w:t>
      </w:r>
      <w:r>
        <w:rPr>
          <w:rFonts w:hint="eastAsia" w:ascii="仿宋" w:hAnsi="仿宋" w:eastAsia="仿宋" w:cs="仿宋"/>
          <w:color w:val="auto"/>
          <w:sz w:val="24"/>
          <w:highlight w:val="none"/>
          <w:u w:val="single"/>
        </w:rPr>
        <w:t xml:space="preserve">            </w:t>
      </w:r>
    </w:p>
    <w:p>
      <w:pPr>
        <w:pStyle w:val="12"/>
        <w:spacing w:line="240" w:lineRule="auto"/>
        <w:ind w:left="0" w:leftChars="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委托代理人联系电话：</w:t>
      </w:r>
      <w:r>
        <w:rPr>
          <w:rFonts w:hint="eastAsia" w:ascii="仿宋" w:hAnsi="仿宋" w:eastAsia="仿宋" w:cs="仿宋"/>
          <w:color w:val="auto"/>
          <w:sz w:val="24"/>
          <w:highlight w:val="none"/>
          <w:u w:val="single"/>
        </w:rPr>
        <w:t xml:space="preserve">                </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开户名称：</w:t>
      </w:r>
      <w:r>
        <w:rPr>
          <w:rFonts w:hint="eastAsia" w:ascii="仿宋" w:hAnsi="仿宋" w:eastAsia="仿宋" w:cs="仿宋"/>
          <w:color w:val="auto"/>
          <w:sz w:val="24"/>
          <w:highlight w:val="none"/>
          <w:u w:val="single"/>
        </w:rPr>
        <w:t xml:space="preserve">                                        </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 xml:space="preserve">                               　       </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账号：</w:t>
      </w:r>
      <w:r>
        <w:rPr>
          <w:rFonts w:hint="eastAsia" w:ascii="仿宋" w:hAnsi="仿宋" w:eastAsia="仿宋" w:cs="仿宋"/>
          <w:color w:val="auto"/>
          <w:sz w:val="24"/>
          <w:highlight w:val="none"/>
          <w:u w:val="single"/>
        </w:rPr>
        <w:t xml:space="preserve">                                   　　　   </w:t>
      </w:r>
    </w:p>
    <w:p>
      <w:pPr>
        <w:pStyle w:val="13"/>
        <w:spacing w:after="120" w:afterAutospacing="0" w:line="240" w:lineRule="auto"/>
        <w:ind w:firstLine="42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（公章）：</w:t>
      </w:r>
      <w:r>
        <w:rPr>
          <w:rFonts w:hint="eastAsia" w:ascii="仿宋" w:hAnsi="仿宋" w:eastAsia="仿宋" w:cs="仿宋"/>
          <w:color w:val="auto"/>
          <w:sz w:val="24"/>
          <w:highlight w:val="none"/>
          <w:u w:val="single"/>
        </w:rPr>
        <w:t xml:space="preserve">                                              </w:t>
      </w:r>
    </w:p>
    <w:p>
      <w:pPr>
        <w:pStyle w:val="13"/>
        <w:spacing w:after="120" w:afterAutospacing="0" w:line="240" w:lineRule="auto"/>
        <w:ind w:firstLine="42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法定代表人或相应的委托代理人签字：</w:t>
      </w:r>
      <w:r>
        <w:rPr>
          <w:rFonts w:hint="eastAsia" w:ascii="仿宋" w:hAnsi="仿宋" w:eastAsia="仿宋" w:cs="仿宋"/>
          <w:color w:val="auto"/>
          <w:sz w:val="24"/>
          <w:highlight w:val="none"/>
          <w:u w:val="single"/>
        </w:rPr>
        <w:t xml:space="preserve">                       </w:t>
      </w:r>
    </w:p>
    <w:p>
      <w:pPr>
        <w:pStyle w:val="13"/>
        <w:spacing w:after="120" w:afterAutospacing="0" w:line="240" w:lineRule="auto"/>
        <w:ind w:firstLine="42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p>
    <w:p>
      <w:pPr>
        <w:pStyle w:val="12"/>
        <w:tabs>
          <w:tab w:val="left" w:pos="482"/>
        </w:tabs>
        <w:spacing w:line="240" w:lineRule="auto"/>
        <w:ind w:left="964" w:leftChars="0" w:hanging="482" w:firstLineChars="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注：1.未按照本响应函（格式）要求填报的响应函将被视为未实质性响应磋商要求，从而导致该磋商被拒绝。</w:t>
      </w:r>
    </w:p>
    <w:p>
      <w:pPr>
        <w:pStyle w:val="12"/>
        <w:tabs>
          <w:tab w:val="left" w:pos="962"/>
        </w:tabs>
        <w:spacing w:line="240" w:lineRule="auto"/>
        <w:ind w:left="482" w:leftChars="0"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2.供应商必须按本响应函（格式）要求注明清楚联系方式（包括地址、邮编、邮箱、电话等），从而确保成交结果等相关信息能及时通知到位。</w:t>
      </w:r>
    </w:p>
    <w:p>
      <w:pPr>
        <w:spacing w:line="240" w:lineRule="auto"/>
        <w:rPr>
          <w:rFonts w:hint="eastAsia" w:ascii="仿宋" w:hAnsi="仿宋" w:eastAsia="仿宋" w:cs="仿宋"/>
        </w:rPr>
      </w:pPr>
    </w:p>
    <w:p>
      <w:pPr>
        <w:pStyle w:val="12"/>
        <w:numPr>
          <w:ilvl w:val="0"/>
          <w:numId w:val="19"/>
        </w:numPr>
        <w:tabs>
          <w:tab w:val="left" w:pos="780"/>
          <w:tab w:val="clear" w:pos="210"/>
        </w:tabs>
        <w:spacing w:line="240" w:lineRule="auto"/>
        <w:ind w:left="150" w:leftChars="0" w:firstLine="480" w:firstLineChars="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供应商的法定代表人身份证正反面复印件</w:t>
      </w:r>
      <w:r>
        <w:rPr>
          <w:rFonts w:hint="eastAsia" w:ascii="仿宋" w:hAnsi="仿宋" w:eastAsia="仿宋" w:cs="仿宋"/>
          <w:b/>
          <w:color w:val="auto"/>
          <w:sz w:val="24"/>
          <w:highlight w:val="none"/>
        </w:rPr>
        <w:t>（必须提供）</w:t>
      </w:r>
      <w:r>
        <w:rPr>
          <w:rFonts w:hint="eastAsia" w:ascii="仿宋" w:hAnsi="仿宋" w:eastAsia="仿宋" w:cs="仿宋"/>
          <w:color w:val="auto"/>
          <w:sz w:val="24"/>
          <w:highlight w:val="none"/>
        </w:rPr>
        <w:t>；</w:t>
      </w:r>
    </w:p>
    <w:p>
      <w:pPr>
        <w:pStyle w:val="12"/>
        <w:numPr>
          <w:ilvl w:val="0"/>
          <w:numId w:val="19"/>
        </w:numPr>
        <w:tabs>
          <w:tab w:val="left" w:pos="780"/>
          <w:tab w:val="clear" w:pos="210"/>
        </w:tabs>
        <w:spacing w:line="240" w:lineRule="auto"/>
        <w:ind w:left="150" w:leftChars="0" w:firstLine="480" w:firstLineChars="0"/>
        <w:rPr>
          <w:rFonts w:hint="eastAsia" w:ascii="仿宋" w:hAnsi="仿宋" w:eastAsia="仿宋" w:cs="仿宋"/>
          <w:highlight w:val="none"/>
        </w:rPr>
      </w:pPr>
      <w:r>
        <w:rPr>
          <w:rFonts w:hint="eastAsia" w:ascii="仿宋" w:hAnsi="仿宋" w:eastAsia="仿宋" w:cs="仿宋"/>
          <w:color w:val="auto"/>
          <w:sz w:val="24"/>
          <w:highlight w:val="none"/>
        </w:rPr>
        <w:t>供应商的授权委托书原件、委托代理人身份证正反面复印件</w:t>
      </w:r>
      <w:r>
        <w:rPr>
          <w:rFonts w:hint="eastAsia" w:ascii="仿宋" w:hAnsi="仿宋" w:eastAsia="仿宋" w:cs="仿宋"/>
          <w:b/>
          <w:color w:val="auto"/>
          <w:sz w:val="24"/>
          <w:highlight w:val="none"/>
        </w:rPr>
        <w:t>（委托代理时必须提供）</w:t>
      </w:r>
    </w:p>
    <w:p>
      <w:pPr>
        <w:pStyle w:val="25"/>
        <w:spacing w:line="240" w:lineRule="auto"/>
        <w:ind w:left="0" w:leftChars="0" w:firstLine="0" w:firstLineChars="0"/>
        <w:outlineLvl w:val="9"/>
        <w:rPr>
          <w:rFonts w:hint="eastAsia" w:ascii="仿宋" w:hAnsi="仿宋" w:eastAsia="仿宋" w:cs="仿宋"/>
          <w:highlight w:val="none"/>
        </w:rPr>
      </w:pPr>
    </w:p>
    <w:p>
      <w:pPr>
        <w:pStyle w:val="25"/>
        <w:spacing w:line="240" w:lineRule="auto"/>
        <w:ind w:left="0" w:leftChars="0" w:firstLine="0" w:firstLineChars="0"/>
        <w:outlineLvl w:val="9"/>
        <w:rPr>
          <w:rFonts w:hint="eastAsia" w:ascii="仿宋" w:hAnsi="仿宋" w:eastAsia="仿宋" w:cs="仿宋"/>
          <w:highlight w:val="none"/>
        </w:rPr>
      </w:pPr>
    </w:p>
    <w:p>
      <w:pPr>
        <w:pStyle w:val="25"/>
        <w:spacing w:line="240" w:lineRule="auto"/>
        <w:ind w:left="0" w:leftChars="0" w:firstLine="0" w:firstLineChars="0"/>
        <w:outlineLvl w:val="9"/>
        <w:rPr>
          <w:rFonts w:hint="eastAsia" w:ascii="仿宋" w:hAnsi="仿宋" w:eastAsia="仿宋" w:cs="仿宋"/>
          <w:highlight w:val="none"/>
        </w:rPr>
      </w:pPr>
      <w:r>
        <w:rPr>
          <w:rFonts w:hint="eastAsia" w:ascii="仿宋" w:hAnsi="仿宋" w:eastAsia="仿宋" w:cs="仿宋"/>
          <w:highlight w:val="none"/>
        </w:rPr>
        <w:t>授权委托书（格式）</w:t>
      </w:r>
    </w:p>
    <w:p>
      <w:pPr>
        <w:pStyle w:val="12"/>
        <w:spacing w:line="240" w:lineRule="auto"/>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桂林市中西医结合医院</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（姓名）系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（供应商名称）的法定代表人，现授权委托（本单位在职职工）</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（姓 名）以我（公司）名义参加</w:t>
      </w:r>
      <w:r>
        <w:rPr>
          <w:rFonts w:hint="eastAsia" w:ascii="仿宋" w:hAnsi="仿宋" w:eastAsia="仿宋" w:cs="仿宋"/>
          <w:color w:val="auto"/>
          <w:sz w:val="24"/>
          <w:highlight w:val="none"/>
          <w:u w:val="single"/>
        </w:rPr>
        <w:t xml:space="preserve">      （项目名称）        </w:t>
      </w:r>
      <w:r>
        <w:rPr>
          <w:rFonts w:hint="eastAsia" w:ascii="仿宋" w:hAnsi="仿宋" w:eastAsia="仿宋" w:cs="仿宋"/>
          <w:color w:val="auto"/>
          <w:sz w:val="24"/>
          <w:highlight w:val="none"/>
        </w:rPr>
        <w:t>项目的招标活动，并代表我方全权办理针对上述项目的招标、签约等具体事务和签署相关文件。</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我方对被授权人的签字事项负全部责任。</w:t>
      </w:r>
    </w:p>
    <w:p>
      <w:pPr>
        <w:pStyle w:val="12"/>
        <w:spacing w:line="240" w:lineRule="auto"/>
        <w:ind w:left="0" w:leftChars="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授权委托代理期限：从</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月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日起至</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月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日止。</w:t>
      </w:r>
    </w:p>
    <w:p>
      <w:pPr>
        <w:pStyle w:val="13"/>
        <w:spacing w:line="240" w:lineRule="auto"/>
        <w:rPr>
          <w:rFonts w:hint="eastAsia" w:ascii="仿宋" w:hAnsi="仿宋" w:eastAsia="仿宋" w:cs="仿宋"/>
          <w:color w:val="auto"/>
          <w:highlight w:val="none"/>
          <w:u w:val="single"/>
        </w:rPr>
      </w:pPr>
      <w:r>
        <w:rPr>
          <w:rFonts w:hint="eastAsia" w:ascii="仿宋" w:hAnsi="仿宋" w:eastAsia="仿宋" w:cs="仿宋"/>
          <w:color w:val="auto"/>
          <w:highlight w:val="none"/>
        </w:rPr>
        <w:t xml:space="preserve">                                                                                             </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代理人无转委托权，特此委托。 </w:t>
      </w:r>
    </w:p>
    <w:p>
      <w:pPr>
        <w:spacing w:after="120" w:afterAutospacing="0" w:line="240" w:lineRule="auto"/>
        <w:ind w:left="480" w:leftChars="0" w:firstLine="0" w:firstLineChars="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我已在下面签字，以资证明。</w:t>
      </w:r>
    </w:p>
    <w:p>
      <w:pPr>
        <w:spacing w:after="120" w:afterAutospacing="0" w:line="240" w:lineRule="auto"/>
        <w:ind w:left="480" w:leftChars="0" w:firstLine="0" w:firstLineChars="0"/>
        <w:rPr>
          <w:rFonts w:hint="eastAsia" w:ascii="仿宋" w:hAnsi="仿宋" w:eastAsia="仿宋" w:cs="仿宋"/>
          <w:color w:val="auto"/>
          <w:sz w:val="24"/>
          <w:szCs w:val="21"/>
          <w:highlight w:val="none"/>
          <w:u w:val="single"/>
        </w:rPr>
      </w:pPr>
      <w:r>
        <w:rPr>
          <w:rFonts w:hint="eastAsia" w:ascii="仿宋" w:hAnsi="仿宋" w:eastAsia="仿宋" w:cs="仿宋"/>
          <w:color w:val="auto"/>
          <w:sz w:val="24"/>
          <w:szCs w:val="21"/>
          <w:highlight w:val="none"/>
          <w:lang w:eastAsia="zh-CN"/>
        </w:rPr>
        <w:t>供应商</w:t>
      </w:r>
      <w:r>
        <w:rPr>
          <w:rFonts w:hint="eastAsia" w:ascii="仿宋" w:hAnsi="仿宋" w:eastAsia="仿宋" w:cs="仿宋"/>
          <w:bCs/>
          <w:color w:val="auto"/>
          <w:sz w:val="24"/>
          <w:szCs w:val="21"/>
          <w:highlight w:val="none"/>
        </w:rPr>
        <w:t>（公章）</w:t>
      </w:r>
      <w:r>
        <w:rPr>
          <w:rFonts w:hint="eastAsia" w:ascii="仿宋" w:hAnsi="仿宋" w:eastAsia="仿宋" w:cs="仿宋"/>
          <w:color w:val="auto"/>
          <w:sz w:val="24"/>
          <w:szCs w:val="21"/>
          <w:highlight w:val="none"/>
        </w:rPr>
        <w:t>：</w:t>
      </w:r>
      <w:r>
        <w:rPr>
          <w:rFonts w:hint="eastAsia" w:ascii="仿宋" w:hAnsi="仿宋" w:eastAsia="仿宋" w:cs="仿宋"/>
          <w:b/>
          <w:color w:val="auto"/>
          <w:sz w:val="24"/>
          <w:szCs w:val="21"/>
          <w:highlight w:val="none"/>
          <w:u w:val="single"/>
        </w:rPr>
        <w:t xml:space="preserve">                                      </w:t>
      </w:r>
    </w:p>
    <w:p>
      <w:pPr>
        <w:spacing w:after="120" w:afterAutospacing="0" w:line="240" w:lineRule="auto"/>
        <w:ind w:left="480" w:leftChars="0" w:firstLine="0" w:firstLineChars="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法定代表人签字：</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rPr>
        <w:t xml:space="preserve"> </w:t>
      </w:r>
    </w:p>
    <w:p>
      <w:pPr>
        <w:spacing w:after="120" w:afterAutospacing="0" w:line="240" w:lineRule="auto"/>
        <w:ind w:left="480" w:leftChars="0" w:firstLine="0" w:firstLineChars="0"/>
        <w:rPr>
          <w:rFonts w:hint="eastAsia" w:ascii="仿宋" w:hAnsi="仿宋" w:eastAsia="仿宋" w:cs="仿宋"/>
          <w:color w:val="auto"/>
          <w:sz w:val="24"/>
          <w:szCs w:val="21"/>
          <w:highlight w:val="none"/>
        </w:rPr>
      </w:pPr>
      <w:r>
        <w:rPr>
          <w:rFonts w:hint="eastAsia" w:ascii="仿宋" w:hAnsi="仿宋" w:eastAsia="仿宋" w:cs="仿宋"/>
          <w:color w:val="auto"/>
          <w:sz w:val="24"/>
          <w:highlight w:val="none"/>
        </w:rPr>
        <w:t>授权委托代理人签字</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rPr>
        <w:t xml:space="preserve">   　　</w:t>
      </w:r>
    </w:p>
    <w:p>
      <w:pPr>
        <w:spacing w:after="120" w:afterAutospacing="0" w:line="240" w:lineRule="auto"/>
        <w:ind w:firstLine="720" w:firstLineChars="3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 xml:space="preserve"> </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rPr>
        <w:t>年</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rPr>
        <w:t>月</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rPr>
        <w:t>日</w:t>
      </w:r>
    </w:p>
    <w:p>
      <w:pPr>
        <w:pStyle w:val="12"/>
        <w:spacing w:line="240" w:lineRule="auto"/>
        <w:ind w:left="0" w:leftChars="0"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注：此授权委托书必须由法定代表人及相应的授权委托代理人签字并加盖供应商公章，且不得改变以上格式，否则，响应文件按无效处理。</w:t>
      </w:r>
    </w:p>
    <w:p>
      <w:pPr>
        <w:pStyle w:val="12"/>
        <w:numPr>
          <w:ilvl w:val="0"/>
          <w:numId w:val="0"/>
        </w:numPr>
        <w:tabs>
          <w:tab w:val="left" w:pos="780"/>
        </w:tabs>
        <w:spacing w:line="24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供应商营业执照复印件</w:t>
      </w:r>
      <w:r>
        <w:rPr>
          <w:rFonts w:hint="eastAsia" w:ascii="仿宋" w:hAnsi="仿宋" w:eastAsia="仿宋" w:cs="仿宋"/>
          <w:b/>
          <w:color w:val="auto"/>
          <w:sz w:val="24"/>
          <w:highlight w:val="none"/>
        </w:rPr>
        <w:t>（必须提供）；</w:t>
      </w:r>
    </w:p>
    <w:p>
      <w:pPr>
        <w:pStyle w:val="12"/>
        <w:numPr>
          <w:ilvl w:val="0"/>
          <w:numId w:val="0"/>
        </w:numPr>
        <w:tabs>
          <w:tab w:val="left" w:pos="780"/>
        </w:tabs>
        <w:spacing w:line="24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供应商在全国投资项目在线审批监管平台完成工程咨询单位备案证明材料</w:t>
      </w:r>
      <w:r>
        <w:rPr>
          <w:rFonts w:hint="eastAsia" w:ascii="仿宋" w:hAnsi="仿宋" w:eastAsia="仿宋" w:cs="仿宋"/>
          <w:b/>
          <w:color w:val="auto"/>
          <w:sz w:val="24"/>
          <w:highlight w:val="none"/>
        </w:rPr>
        <w:t>（必须提供）</w:t>
      </w:r>
      <w:r>
        <w:rPr>
          <w:rFonts w:hint="eastAsia" w:ascii="仿宋" w:hAnsi="仿宋" w:eastAsia="仿宋" w:cs="仿宋"/>
          <w:color w:val="auto"/>
          <w:sz w:val="24"/>
          <w:highlight w:val="none"/>
        </w:rPr>
        <w:t>；</w:t>
      </w:r>
    </w:p>
    <w:p>
      <w:pPr>
        <w:pStyle w:val="12"/>
        <w:numPr>
          <w:ilvl w:val="0"/>
          <w:numId w:val="0"/>
        </w:numPr>
        <w:tabs>
          <w:tab w:val="left" w:pos="780"/>
        </w:tabs>
        <w:spacing w:line="24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供应商直接控股关系</w:t>
      </w:r>
      <w:r>
        <w:rPr>
          <w:rFonts w:hint="eastAsia" w:ascii="仿宋" w:hAnsi="仿宋" w:eastAsia="仿宋" w:cs="仿宋"/>
          <w:i w:val="0"/>
          <w:color w:val="333333"/>
          <w:sz w:val="24"/>
        </w:rPr>
        <w:t>及出资</w:t>
      </w:r>
      <w:r>
        <w:rPr>
          <w:rFonts w:hint="eastAsia" w:ascii="仿宋" w:hAnsi="仿宋" w:eastAsia="仿宋" w:cs="仿宋"/>
          <w:color w:val="auto"/>
          <w:sz w:val="24"/>
          <w:highlight w:val="none"/>
        </w:rPr>
        <w:t>信息表</w:t>
      </w:r>
      <w:r>
        <w:rPr>
          <w:rFonts w:hint="eastAsia" w:ascii="仿宋" w:hAnsi="仿宋" w:eastAsia="仿宋" w:cs="仿宋"/>
          <w:b/>
          <w:color w:val="auto"/>
          <w:sz w:val="24"/>
          <w:highlight w:val="none"/>
        </w:rPr>
        <w:t>（必须提供）；</w:t>
      </w:r>
    </w:p>
    <w:p>
      <w:pPr>
        <w:pStyle w:val="25"/>
        <w:spacing w:line="240" w:lineRule="auto"/>
        <w:ind w:left="0" w:leftChars="0" w:firstLine="0" w:firstLineChars="0"/>
        <w:outlineLvl w:val="9"/>
        <w:rPr>
          <w:rFonts w:hint="eastAsia" w:ascii="仿宋" w:hAnsi="仿宋" w:eastAsia="仿宋" w:cs="仿宋"/>
          <w:highlight w:val="none"/>
        </w:rPr>
      </w:pPr>
      <w:r>
        <w:rPr>
          <w:rFonts w:hint="eastAsia" w:ascii="仿宋" w:hAnsi="仿宋" w:eastAsia="仿宋" w:cs="仿宋"/>
          <w:highlight w:val="none"/>
        </w:rPr>
        <w:t>供应商直接控股关系信息表（格式）</w:t>
      </w:r>
    </w:p>
    <w:tbl>
      <w:tblPr>
        <w:tblStyle w:val="18"/>
        <w:tblW w:w="4998" w:type="pct"/>
        <w:tblInd w:w="0" w:type="dxa"/>
        <w:shd w:val="clear" w:color="auto" w:fill="FBFBFB"/>
        <w:tblLayout w:type="autofit"/>
        <w:tblCellMar>
          <w:top w:w="0" w:type="dxa"/>
          <w:left w:w="0" w:type="dxa"/>
          <w:bottom w:w="0" w:type="dxa"/>
          <w:right w:w="0" w:type="dxa"/>
        </w:tblCellMar>
      </w:tblPr>
      <w:tblGrid>
        <w:gridCol w:w="986"/>
        <w:gridCol w:w="2368"/>
        <w:gridCol w:w="1813"/>
        <w:gridCol w:w="2832"/>
        <w:gridCol w:w="2273"/>
      </w:tblGrid>
      <w:tr>
        <w:tblPrEx>
          <w:shd w:val="clear" w:color="auto" w:fill="FBFBFB"/>
          <w:tblCellMar>
            <w:top w:w="0" w:type="dxa"/>
            <w:left w:w="0" w:type="dxa"/>
            <w:bottom w:w="0" w:type="dxa"/>
            <w:right w:w="0" w:type="dxa"/>
          </w:tblCellMar>
        </w:tblPrEx>
        <w:trPr>
          <w:trHeight w:val="421" w:hRule="atLeast"/>
          <w:tblHeader/>
        </w:trPr>
        <w:tc>
          <w:tcPr>
            <w:tcW w:w="480" w:type="pct"/>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240" w:lineRule="auto"/>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highlight w:val="none"/>
              </w:rPr>
              <w:t>序号</w:t>
            </w:r>
          </w:p>
        </w:tc>
        <w:tc>
          <w:tcPr>
            <w:tcW w:w="1152" w:type="pct"/>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240" w:lineRule="auto"/>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highlight w:val="none"/>
              </w:rPr>
              <w:t>直接控股股东名称</w:t>
            </w:r>
          </w:p>
        </w:tc>
        <w:tc>
          <w:tcPr>
            <w:tcW w:w="882" w:type="pct"/>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240" w:lineRule="auto"/>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highlight w:val="none"/>
              </w:rPr>
              <w:t>出资比例</w:t>
            </w:r>
          </w:p>
        </w:tc>
        <w:tc>
          <w:tcPr>
            <w:tcW w:w="1378" w:type="pct"/>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240" w:lineRule="auto"/>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highlight w:val="none"/>
              </w:rPr>
              <w:t>身份证号码</w:t>
            </w:r>
          </w:p>
        </w:tc>
        <w:tc>
          <w:tcPr>
            <w:tcW w:w="1106" w:type="pct"/>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240" w:lineRule="auto"/>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highlight w:val="none"/>
              </w:rPr>
              <w:t>备注</w:t>
            </w:r>
          </w:p>
        </w:tc>
      </w:tr>
      <w:tr>
        <w:tblPrEx>
          <w:shd w:val="clear" w:color="auto" w:fill="FBFBFB"/>
          <w:tblCellMar>
            <w:top w:w="0" w:type="dxa"/>
            <w:left w:w="0" w:type="dxa"/>
            <w:bottom w:w="0" w:type="dxa"/>
            <w:right w:w="0" w:type="dxa"/>
          </w:tblCellMar>
        </w:tblPrEx>
        <w:trPr>
          <w:trHeight w:val="254" w:hRule="atLeast"/>
        </w:trPr>
        <w:tc>
          <w:tcPr>
            <w:tcW w:w="480"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4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highlight w:val="none"/>
              </w:rPr>
              <w:t>1</w:t>
            </w:r>
          </w:p>
        </w:tc>
        <w:tc>
          <w:tcPr>
            <w:tcW w:w="1152"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40" w:lineRule="auto"/>
              <w:jc w:val="center"/>
              <w:rPr>
                <w:rFonts w:hint="eastAsia" w:ascii="仿宋" w:hAnsi="仿宋" w:eastAsia="仿宋" w:cs="仿宋"/>
                <w:color w:val="auto"/>
                <w:kern w:val="0"/>
                <w:szCs w:val="21"/>
                <w:highlight w:val="none"/>
              </w:rPr>
            </w:pPr>
          </w:p>
        </w:tc>
        <w:tc>
          <w:tcPr>
            <w:tcW w:w="882"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40" w:lineRule="auto"/>
              <w:jc w:val="center"/>
              <w:rPr>
                <w:rFonts w:hint="eastAsia" w:ascii="仿宋" w:hAnsi="仿宋" w:eastAsia="仿宋" w:cs="仿宋"/>
                <w:color w:val="auto"/>
                <w:kern w:val="0"/>
                <w:szCs w:val="21"/>
                <w:highlight w:val="none"/>
              </w:rPr>
            </w:pPr>
          </w:p>
        </w:tc>
        <w:tc>
          <w:tcPr>
            <w:tcW w:w="1378"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40" w:lineRule="auto"/>
              <w:jc w:val="center"/>
              <w:rPr>
                <w:rFonts w:hint="eastAsia" w:ascii="仿宋" w:hAnsi="仿宋" w:eastAsia="仿宋" w:cs="仿宋"/>
                <w:color w:val="auto"/>
                <w:kern w:val="0"/>
                <w:szCs w:val="21"/>
                <w:highlight w:val="none"/>
              </w:rPr>
            </w:pPr>
          </w:p>
        </w:tc>
        <w:tc>
          <w:tcPr>
            <w:tcW w:w="1106"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40" w:lineRule="auto"/>
              <w:jc w:val="center"/>
              <w:rPr>
                <w:rFonts w:hint="eastAsia" w:ascii="仿宋" w:hAnsi="仿宋" w:eastAsia="仿宋" w:cs="仿宋"/>
                <w:color w:val="auto"/>
                <w:kern w:val="0"/>
                <w:szCs w:val="21"/>
                <w:highlight w:val="none"/>
              </w:rPr>
            </w:pPr>
          </w:p>
        </w:tc>
      </w:tr>
      <w:tr>
        <w:tblPrEx>
          <w:tblCellMar>
            <w:top w:w="0" w:type="dxa"/>
            <w:left w:w="0" w:type="dxa"/>
            <w:bottom w:w="0" w:type="dxa"/>
            <w:right w:w="0" w:type="dxa"/>
          </w:tblCellMar>
        </w:tblPrEx>
        <w:trPr>
          <w:trHeight w:val="246" w:hRule="atLeast"/>
        </w:trPr>
        <w:tc>
          <w:tcPr>
            <w:tcW w:w="480"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4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highlight w:val="none"/>
              </w:rPr>
              <w:t>2</w:t>
            </w:r>
          </w:p>
        </w:tc>
        <w:tc>
          <w:tcPr>
            <w:tcW w:w="1152"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40" w:lineRule="auto"/>
              <w:jc w:val="center"/>
              <w:rPr>
                <w:rFonts w:hint="eastAsia" w:ascii="仿宋" w:hAnsi="仿宋" w:eastAsia="仿宋" w:cs="仿宋"/>
                <w:color w:val="auto"/>
                <w:kern w:val="0"/>
                <w:szCs w:val="21"/>
                <w:highlight w:val="none"/>
              </w:rPr>
            </w:pPr>
          </w:p>
        </w:tc>
        <w:tc>
          <w:tcPr>
            <w:tcW w:w="882"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40" w:lineRule="auto"/>
              <w:jc w:val="center"/>
              <w:rPr>
                <w:rFonts w:hint="eastAsia" w:ascii="仿宋" w:hAnsi="仿宋" w:eastAsia="仿宋" w:cs="仿宋"/>
                <w:color w:val="auto"/>
                <w:kern w:val="0"/>
                <w:szCs w:val="21"/>
                <w:highlight w:val="none"/>
              </w:rPr>
            </w:pPr>
          </w:p>
        </w:tc>
        <w:tc>
          <w:tcPr>
            <w:tcW w:w="1378"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40" w:lineRule="auto"/>
              <w:jc w:val="center"/>
              <w:rPr>
                <w:rFonts w:hint="eastAsia" w:ascii="仿宋" w:hAnsi="仿宋" w:eastAsia="仿宋" w:cs="仿宋"/>
                <w:color w:val="auto"/>
                <w:kern w:val="0"/>
                <w:szCs w:val="21"/>
                <w:highlight w:val="none"/>
              </w:rPr>
            </w:pPr>
          </w:p>
        </w:tc>
        <w:tc>
          <w:tcPr>
            <w:tcW w:w="1106"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40" w:lineRule="auto"/>
              <w:jc w:val="center"/>
              <w:rPr>
                <w:rFonts w:hint="eastAsia" w:ascii="仿宋" w:hAnsi="仿宋" w:eastAsia="仿宋" w:cs="仿宋"/>
                <w:color w:val="auto"/>
                <w:kern w:val="0"/>
                <w:szCs w:val="21"/>
                <w:highlight w:val="none"/>
              </w:rPr>
            </w:pPr>
          </w:p>
        </w:tc>
      </w:tr>
    </w:tbl>
    <w:p>
      <w:pPr>
        <w:pStyle w:val="12"/>
        <w:numPr>
          <w:ilvl w:val="0"/>
          <w:numId w:val="0"/>
        </w:numPr>
        <w:tabs>
          <w:tab w:val="left" w:pos="780"/>
        </w:tabs>
        <w:spacing w:line="24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供应商参加采购活动前3年内在经营活动中没有重大违法记录及有关信用信息的书面声明</w:t>
      </w:r>
      <w:r>
        <w:rPr>
          <w:rFonts w:hint="eastAsia" w:ascii="仿宋" w:hAnsi="仿宋" w:eastAsia="仿宋" w:cs="仿宋"/>
          <w:b/>
          <w:color w:val="auto"/>
          <w:sz w:val="24"/>
          <w:highlight w:val="none"/>
        </w:rPr>
        <w:t>（必须提供）；</w:t>
      </w:r>
    </w:p>
    <w:p>
      <w:pPr>
        <w:pStyle w:val="25"/>
        <w:spacing w:line="240" w:lineRule="auto"/>
        <w:ind w:left="0" w:leftChars="0" w:firstLine="0" w:firstLineChars="0"/>
        <w:outlineLvl w:val="9"/>
        <w:rPr>
          <w:rFonts w:hint="eastAsia" w:ascii="仿宋" w:hAnsi="仿宋" w:eastAsia="仿宋" w:cs="仿宋"/>
          <w:highlight w:val="none"/>
        </w:rPr>
      </w:pPr>
    </w:p>
    <w:p>
      <w:pPr>
        <w:pStyle w:val="25"/>
        <w:spacing w:line="240" w:lineRule="auto"/>
        <w:ind w:left="0" w:leftChars="0" w:firstLine="0" w:firstLineChars="0"/>
        <w:outlineLvl w:val="9"/>
        <w:rPr>
          <w:rFonts w:hint="eastAsia" w:ascii="仿宋" w:hAnsi="仿宋" w:eastAsia="仿宋" w:cs="仿宋"/>
          <w:highlight w:val="none"/>
        </w:rPr>
      </w:pPr>
      <w:r>
        <w:rPr>
          <w:rFonts w:hint="eastAsia" w:ascii="仿宋" w:hAnsi="仿宋" w:eastAsia="仿宋" w:cs="仿宋"/>
          <w:highlight w:val="none"/>
        </w:rPr>
        <w:t>声   明（格式）</w:t>
      </w:r>
    </w:p>
    <w:p>
      <w:pPr>
        <w:pStyle w:val="12"/>
        <w:spacing w:line="240" w:lineRule="auto"/>
        <w:ind w:left="0" w:leftChars="0" w:firstLine="0" w:firstLine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致</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桂林市中西医结合医院</w:t>
      </w:r>
    </w:p>
    <w:p>
      <w:pPr>
        <w:pStyle w:val="12"/>
        <w:spacing w:line="24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公司）郑重声明，在参加本项目采购活动前3年内在经营活动中没有重大违法记录（重大违法记录是指供应商因违法经营受到刑事处罚或者责令停产停业、吊销许可证或者执照、较大数额罚款等行政处罚），未被列入失信被执行人、重大税收违法失信主体、采购严重违法失信行为记录名单，完全符合本项目规定的供应商资格条件，我方对此声明负全部法律责任。</w:t>
      </w:r>
    </w:p>
    <w:p>
      <w:pPr>
        <w:spacing w:after="120" w:afterAutospacing="0" w:line="240" w:lineRule="auto"/>
        <w:ind w:left="480" w:leftChars="0" w:firstLine="0" w:firstLineChars="0"/>
        <w:rPr>
          <w:rFonts w:hint="eastAsia" w:ascii="仿宋" w:hAnsi="仿宋" w:eastAsia="仿宋" w:cs="仿宋"/>
          <w:color w:val="auto"/>
          <w:sz w:val="24"/>
          <w:szCs w:val="21"/>
          <w:highlight w:val="none"/>
          <w:u w:val="single"/>
        </w:rPr>
      </w:pPr>
      <w:r>
        <w:rPr>
          <w:rFonts w:hint="eastAsia" w:ascii="仿宋" w:hAnsi="仿宋" w:eastAsia="仿宋" w:cs="仿宋"/>
          <w:color w:val="auto"/>
          <w:sz w:val="24"/>
          <w:szCs w:val="21"/>
          <w:highlight w:val="none"/>
          <w:lang w:eastAsia="zh-CN"/>
        </w:rPr>
        <w:t>供应商</w:t>
      </w:r>
      <w:r>
        <w:rPr>
          <w:rFonts w:hint="eastAsia" w:ascii="仿宋" w:hAnsi="仿宋" w:eastAsia="仿宋" w:cs="仿宋"/>
          <w:color w:val="auto"/>
          <w:sz w:val="24"/>
          <w:szCs w:val="21"/>
          <w:highlight w:val="none"/>
        </w:rPr>
        <w:t>（公章）：</w:t>
      </w:r>
      <w:r>
        <w:rPr>
          <w:rFonts w:hint="eastAsia" w:ascii="仿宋" w:hAnsi="仿宋" w:eastAsia="仿宋" w:cs="仿宋"/>
          <w:color w:val="auto"/>
          <w:sz w:val="24"/>
          <w:szCs w:val="21"/>
          <w:highlight w:val="none"/>
          <w:u w:val="single"/>
        </w:rPr>
        <w:t xml:space="preserve">                                        </w:t>
      </w:r>
    </w:p>
    <w:p>
      <w:pPr>
        <w:spacing w:after="120" w:afterAutospacing="0" w:line="240" w:lineRule="auto"/>
        <w:ind w:left="480" w:leftChars="0" w:firstLine="0" w:firstLineChars="0"/>
        <w:rPr>
          <w:rFonts w:hint="eastAsia" w:ascii="仿宋" w:hAnsi="仿宋" w:eastAsia="仿宋" w:cs="仿宋"/>
          <w:color w:val="auto"/>
          <w:sz w:val="24"/>
          <w:szCs w:val="21"/>
          <w:highlight w:val="none"/>
          <w:u w:val="single"/>
        </w:rPr>
      </w:pPr>
      <w:r>
        <w:rPr>
          <w:rFonts w:hint="eastAsia" w:ascii="仿宋" w:hAnsi="仿宋" w:eastAsia="仿宋" w:cs="仿宋"/>
          <w:color w:val="auto"/>
          <w:sz w:val="24"/>
          <w:highlight w:val="none"/>
        </w:rPr>
        <w:t>法定代表人或相应的授权委托代理人签字：</w:t>
      </w:r>
      <w:r>
        <w:rPr>
          <w:rFonts w:hint="eastAsia" w:ascii="仿宋" w:hAnsi="仿宋" w:eastAsia="仿宋" w:cs="仿宋"/>
          <w:color w:val="auto"/>
          <w:sz w:val="24"/>
          <w:szCs w:val="21"/>
          <w:highlight w:val="none"/>
          <w:u w:val="single"/>
        </w:rPr>
        <w:t xml:space="preserve">                        </w:t>
      </w:r>
    </w:p>
    <w:p>
      <w:pPr>
        <w:spacing w:after="120" w:afterAutospacing="0" w:line="240" w:lineRule="auto"/>
        <w:ind w:left="480" w:leftChars="0" w:firstLine="0" w:firstLineChars="0"/>
        <w:rPr>
          <w:rFonts w:hint="eastAsia" w:ascii="仿宋" w:hAnsi="仿宋" w:eastAsia="仿宋" w:cs="仿宋"/>
          <w:bCs/>
          <w:color w:val="auto"/>
          <w:sz w:val="24"/>
          <w:szCs w:val="21"/>
          <w:highlight w:val="none"/>
        </w:rPr>
      </w:pPr>
      <w:r>
        <w:rPr>
          <w:rFonts w:hint="eastAsia" w:ascii="仿宋" w:hAnsi="仿宋" w:eastAsia="仿宋" w:cs="仿宋"/>
          <w:color w:val="auto"/>
          <w:sz w:val="24"/>
          <w:highlight w:val="none"/>
        </w:rPr>
        <w:t>日       期：</w:t>
      </w:r>
      <w:r>
        <w:rPr>
          <w:rFonts w:hint="eastAsia" w:ascii="仿宋" w:hAnsi="仿宋" w:eastAsia="仿宋" w:cs="仿宋"/>
          <w:color w:val="auto"/>
          <w:sz w:val="24"/>
          <w:highlight w:val="none"/>
          <w:u w:val="single"/>
        </w:rPr>
        <w:t xml:space="preserve">                                        </w:t>
      </w:r>
    </w:p>
    <w:p>
      <w:pPr>
        <w:pStyle w:val="12"/>
        <w:numPr>
          <w:ilvl w:val="0"/>
          <w:numId w:val="0"/>
        </w:numPr>
        <w:tabs>
          <w:tab w:val="left" w:pos="780"/>
        </w:tabs>
        <w:spacing w:line="24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lang w:val="en-US" w:eastAsia="zh-CN"/>
        </w:rPr>
        <w:t>7.</w:t>
      </w:r>
      <w:r>
        <w:rPr>
          <w:rFonts w:hint="eastAsia" w:ascii="仿宋" w:hAnsi="仿宋" w:eastAsia="仿宋" w:cs="仿宋"/>
          <w:b w:val="0"/>
          <w:color w:val="auto"/>
          <w:sz w:val="24"/>
          <w:highlight w:val="none"/>
        </w:rPr>
        <w:t>供应商在“信用中国”网(www.creditchina.gov.cn)查询网站直接打印的信用查询记录,以及中国政府采购网(www.ccgp.gov.cn)等渠道列入失信被执行人、重大税收违法案件当事人名单、政府采购严重违法失信行为记录名单打印材料</w:t>
      </w:r>
      <w:r>
        <w:rPr>
          <w:rFonts w:hint="eastAsia" w:ascii="仿宋" w:hAnsi="仿宋" w:eastAsia="仿宋" w:cs="仿宋"/>
          <w:b/>
          <w:color w:val="auto"/>
          <w:sz w:val="24"/>
          <w:highlight w:val="none"/>
        </w:rPr>
        <w:t>（必须提供）</w:t>
      </w:r>
      <w:r>
        <w:rPr>
          <w:rFonts w:hint="eastAsia" w:ascii="仿宋" w:hAnsi="仿宋" w:eastAsia="仿宋" w:cs="仿宋"/>
          <w:color w:val="auto"/>
          <w:sz w:val="24"/>
          <w:highlight w:val="none"/>
        </w:rPr>
        <w:t>。</w:t>
      </w:r>
    </w:p>
    <w:p>
      <w:pPr>
        <w:pStyle w:val="12"/>
        <w:numPr>
          <w:ilvl w:val="0"/>
          <w:numId w:val="0"/>
        </w:numPr>
        <w:tabs>
          <w:tab w:val="left" w:pos="780"/>
        </w:tabs>
        <w:spacing w:line="240" w:lineRule="auto"/>
        <w:ind w:left="630" w:leftChars="0"/>
        <w:rPr>
          <w:rFonts w:hint="eastAsia" w:ascii="仿宋" w:hAnsi="仿宋" w:eastAsia="仿宋" w:cs="仿宋"/>
          <w:b w:val="0"/>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报价表</w:t>
      </w:r>
      <w:r>
        <w:rPr>
          <w:rFonts w:hint="eastAsia" w:ascii="仿宋" w:hAnsi="仿宋" w:eastAsia="仿宋" w:cs="仿宋"/>
          <w:b/>
          <w:color w:val="auto"/>
          <w:sz w:val="24"/>
          <w:highlight w:val="none"/>
        </w:rPr>
        <w:t>（必须提供）</w:t>
      </w:r>
    </w:p>
    <w:p>
      <w:pPr>
        <w:pStyle w:val="25"/>
        <w:widowControl/>
        <w:spacing w:line="240" w:lineRule="auto"/>
        <w:ind w:left="0" w:leftChars="0" w:firstLine="0" w:firstLineChars="0"/>
        <w:outlineLvl w:val="9"/>
        <w:rPr>
          <w:rFonts w:hint="eastAsia" w:ascii="仿宋" w:hAnsi="仿宋" w:eastAsia="仿宋" w:cs="仿宋"/>
        </w:rPr>
      </w:pPr>
    </w:p>
    <w:p>
      <w:pPr>
        <w:pStyle w:val="25"/>
        <w:widowControl/>
        <w:spacing w:line="240" w:lineRule="auto"/>
        <w:ind w:left="0" w:leftChars="0" w:firstLine="0" w:firstLineChars="0"/>
        <w:outlineLvl w:val="9"/>
        <w:rPr>
          <w:rFonts w:hint="eastAsia" w:ascii="仿宋" w:hAnsi="仿宋" w:eastAsia="仿宋" w:cs="仿宋"/>
        </w:rPr>
      </w:pPr>
    </w:p>
    <w:p>
      <w:pPr>
        <w:pStyle w:val="25"/>
        <w:widowControl/>
        <w:spacing w:line="240" w:lineRule="auto"/>
        <w:ind w:left="0" w:leftChars="0" w:firstLine="0" w:firstLineChars="0"/>
        <w:outlineLvl w:val="9"/>
        <w:rPr>
          <w:rFonts w:hint="eastAsia" w:ascii="仿宋" w:hAnsi="仿宋" w:eastAsia="仿宋" w:cs="仿宋"/>
        </w:rPr>
      </w:pPr>
    </w:p>
    <w:p>
      <w:pPr>
        <w:pStyle w:val="25"/>
        <w:widowControl/>
        <w:spacing w:line="240" w:lineRule="auto"/>
        <w:ind w:left="0" w:leftChars="0" w:firstLine="0" w:firstLineChars="0"/>
        <w:outlineLvl w:val="9"/>
        <w:rPr>
          <w:rFonts w:hint="eastAsia" w:ascii="仿宋" w:hAnsi="仿宋" w:eastAsia="仿宋" w:cs="仿宋"/>
        </w:rPr>
      </w:pPr>
    </w:p>
    <w:p>
      <w:pPr>
        <w:pStyle w:val="25"/>
        <w:widowControl/>
        <w:spacing w:line="240" w:lineRule="auto"/>
        <w:ind w:left="0" w:leftChars="0" w:firstLine="0" w:firstLineChars="0"/>
        <w:outlineLvl w:val="9"/>
        <w:rPr>
          <w:rFonts w:hint="eastAsia" w:ascii="仿宋" w:hAnsi="仿宋" w:eastAsia="仿宋" w:cs="仿宋"/>
        </w:rPr>
      </w:pPr>
    </w:p>
    <w:p>
      <w:pPr>
        <w:pStyle w:val="25"/>
        <w:widowControl/>
        <w:spacing w:line="240" w:lineRule="auto"/>
        <w:ind w:left="0" w:leftChars="0" w:firstLine="0" w:firstLineChars="0"/>
        <w:outlineLvl w:val="9"/>
        <w:rPr>
          <w:rFonts w:hint="eastAsia" w:ascii="仿宋" w:hAnsi="仿宋" w:eastAsia="仿宋" w:cs="仿宋"/>
        </w:rPr>
      </w:pPr>
    </w:p>
    <w:p>
      <w:pPr>
        <w:pStyle w:val="25"/>
        <w:widowControl/>
        <w:spacing w:line="240" w:lineRule="auto"/>
        <w:ind w:left="0" w:leftChars="0" w:firstLine="0" w:firstLineChars="0"/>
        <w:outlineLvl w:val="9"/>
        <w:rPr>
          <w:rFonts w:hint="eastAsia" w:ascii="仿宋" w:hAnsi="仿宋" w:eastAsia="仿宋" w:cs="仿宋"/>
        </w:rPr>
      </w:pPr>
    </w:p>
    <w:p>
      <w:pPr>
        <w:pStyle w:val="25"/>
        <w:widowControl/>
        <w:spacing w:line="240" w:lineRule="auto"/>
        <w:ind w:left="0" w:leftChars="0" w:firstLine="0" w:firstLineChars="0"/>
        <w:outlineLvl w:val="9"/>
        <w:rPr>
          <w:rFonts w:hint="eastAsia" w:ascii="仿宋" w:hAnsi="仿宋" w:eastAsia="仿宋" w:cs="仿宋"/>
        </w:rPr>
      </w:pPr>
    </w:p>
    <w:p>
      <w:pPr>
        <w:pStyle w:val="25"/>
        <w:widowControl/>
        <w:spacing w:line="240" w:lineRule="auto"/>
        <w:ind w:left="0" w:leftChars="0" w:firstLine="0" w:firstLineChars="0"/>
        <w:outlineLvl w:val="9"/>
        <w:rPr>
          <w:rFonts w:hint="eastAsia" w:ascii="仿宋" w:hAnsi="仿宋" w:eastAsia="仿宋" w:cs="仿宋"/>
        </w:rPr>
      </w:pPr>
    </w:p>
    <w:p>
      <w:pPr>
        <w:pStyle w:val="25"/>
        <w:widowControl/>
        <w:spacing w:line="240" w:lineRule="auto"/>
        <w:ind w:left="0" w:leftChars="0" w:firstLine="0" w:firstLineChars="0"/>
        <w:outlineLvl w:val="9"/>
        <w:rPr>
          <w:rFonts w:hint="eastAsia" w:ascii="仿宋" w:hAnsi="仿宋" w:eastAsia="仿宋" w:cs="仿宋"/>
        </w:rPr>
      </w:pPr>
    </w:p>
    <w:p>
      <w:pPr>
        <w:pStyle w:val="25"/>
        <w:widowControl/>
        <w:spacing w:line="240" w:lineRule="auto"/>
        <w:ind w:left="0" w:leftChars="0" w:firstLine="0" w:firstLineChars="0"/>
        <w:jc w:val="both"/>
        <w:outlineLvl w:val="9"/>
        <w:rPr>
          <w:rFonts w:hint="eastAsia" w:ascii="方正小标宋简体" w:hAnsi="方正小标宋简体" w:eastAsia="方正小标宋简体" w:cs="方正小标宋简体"/>
          <w:sz w:val="36"/>
          <w:szCs w:val="36"/>
        </w:rPr>
      </w:pPr>
    </w:p>
    <w:p>
      <w:pPr>
        <w:pStyle w:val="25"/>
        <w:widowControl/>
        <w:spacing w:line="240" w:lineRule="auto"/>
        <w:ind w:left="0" w:leftChars="0" w:firstLine="0" w:firstLineChars="0"/>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报</w:t>
      </w:r>
      <w:r>
        <w:rPr>
          <w:rFonts w:hint="eastAsia" w:ascii="方正小标宋简体" w:hAnsi="方正小标宋简体" w:eastAsia="方正小标宋简体" w:cs="方正小标宋简体"/>
          <w:sz w:val="36"/>
          <w:szCs w:val="36"/>
          <w:lang w:val="en-US" w:eastAsia="zh-CN"/>
        </w:rPr>
        <w:t xml:space="preserve"> </w:t>
      </w:r>
      <w:r>
        <w:rPr>
          <w:rFonts w:hint="eastAsia" w:ascii="方正小标宋简体" w:hAnsi="方正小标宋简体" w:eastAsia="方正小标宋简体" w:cs="方正小标宋简体"/>
          <w:sz w:val="36"/>
          <w:szCs w:val="36"/>
        </w:rPr>
        <w:t>价</w:t>
      </w:r>
      <w:r>
        <w:rPr>
          <w:rFonts w:hint="eastAsia" w:ascii="方正小标宋简体" w:hAnsi="方正小标宋简体" w:eastAsia="方正小标宋简体" w:cs="方正小标宋简体"/>
          <w:sz w:val="36"/>
          <w:szCs w:val="36"/>
          <w:lang w:val="en-US" w:eastAsia="zh-CN"/>
        </w:rPr>
        <w:t xml:space="preserve"> </w:t>
      </w:r>
      <w:r>
        <w:rPr>
          <w:rFonts w:hint="eastAsia" w:ascii="方正小标宋简体" w:hAnsi="方正小标宋简体" w:eastAsia="方正小标宋简体" w:cs="方正小标宋简体"/>
          <w:sz w:val="36"/>
          <w:szCs w:val="36"/>
        </w:rPr>
        <w:t>表</w:t>
      </w:r>
    </w:p>
    <w:tbl>
      <w:tblPr>
        <w:tblStyle w:val="18"/>
        <w:tblpPr w:leftFromText="180" w:rightFromText="180" w:vertAnchor="text" w:horzAnchor="margin" w:tblpXSpec="center" w:tblpY="253"/>
        <w:tblOverlap w:val="never"/>
        <w:tblW w:w="9078" w:type="dxa"/>
        <w:tblInd w:w="-7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36"/>
        <w:gridCol w:w="3076"/>
        <w:gridCol w:w="3114"/>
        <w:gridCol w:w="135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153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r>
              <w:rPr>
                <w:rFonts w:hint="eastAsia" w:ascii="仿宋" w:hAnsi="仿宋" w:eastAsia="仿宋" w:cs="仿宋"/>
                <w:color w:val="333333"/>
                <w:sz w:val="24"/>
                <w:lang w:eastAsia="zh-CN"/>
              </w:rPr>
              <w:t>序号</w:t>
            </w:r>
          </w:p>
        </w:tc>
        <w:tc>
          <w:tcPr>
            <w:tcW w:w="307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r>
              <w:rPr>
                <w:rFonts w:hint="eastAsia" w:ascii="仿宋" w:hAnsi="仿宋" w:eastAsia="仿宋" w:cs="仿宋"/>
                <w:color w:val="333333"/>
                <w:sz w:val="24"/>
                <w:lang w:eastAsia="zh-CN"/>
              </w:rPr>
              <w:t>项目</w:t>
            </w:r>
          </w:p>
        </w:tc>
        <w:tc>
          <w:tcPr>
            <w:tcW w:w="3114"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val="en-US" w:eastAsia="zh-CN"/>
              </w:rPr>
            </w:pPr>
            <w:r>
              <w:rPr>
                <w:rFonts w:hint="eastAsia" w:ascii="仿宋" w:hAnsi="仿宋" w:eastAsia="仿宋" w:cs="仿宋"/>
                <w:color w:val="333333"/>
                <w:sz w:val="24"/>
                <w:lang w:eastAsia="zh-CN"/>
              </w:rPr>
              <w:t>报价（元）</w:t>
            </w:r>
          </w:p>
        </w:tc>
        <w:tc>
          <w:tcPr>
            <w:tcW w:w="135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r>
              <w:rPr>
                <w:rFonts w:hint="eastAsia" w:ascii="仿宋" w:hAnsi="仿宋" w:eastAsia="仿宋" w:cs="仿宋"/>
                <w:color w:val="333333"/>
                <w:sz w:val="24"/>
                <w:lang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1" w:hRule="atLeast"/>
        </w:trPr>
        <w:tc>
          <w:tcPr>
            <w:tcW w:w="153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val="en-US" w:eastAsia="zh-CN"/>
              </w:rPr>
            </w:pPr>
            <w:r>
              <w:rPr>
                <w:rFonts w:hint="eastAsia" w:ascii="仿宋" w:hAnsi="仿宋" w:eastAsia="仿宋" w:cs="仿宋"/>
                <w:color w:val="333333"/>
                <w:sz w:val="24"/>
                <w:lang w:val="en-US" w:eastAsia="zh-CN"/>
              </w:rPr>
              <w:t>1</w:t>
            </w:r>
          </w:p>
        </w:tc>
        <w:tc>
          <w:tcPr>
            <w:tcW w:w="307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r>
              <w:rPr>
                <w:rFonts w:hint="eastAsia" w:ascii="仿宋" w:hAnsi="仿宋" w:eastAsia="仿宋" w:cs="仿宋"/>
                <w:color w:val="333333"/>
                <w:sz w:val="24"/>
                <w:lang w:eastAsia="zh-CN"/>
              </w:rPr>
              <w:t>提级论证报告编制</w:t>
            </w:r>
          </w:p>
        </w:tc>
        <w:tc>
          <w:tcPr>
            <w:tcW w:w="3114"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p>
        </w:tc>
        <w:tc>
          <w:tcPr>
            <w:tcW w:w="135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1" w:hRule="atLeast"/>
        </w:trPr>
        <w:tc>
          <w:tcPr>
            <w:tcW w:w="153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val="en-US" w:eastAsia="zh-CN"/>
              </w:rPr>
            </w:pPr>
            <w:r>
              <w:rPr>
                <w:rFonts w:hint="eastAsia" w:ascii="仿宋" w:hAnsi="仿宋" w:eastAsia="仿宋" w:cs="仿宋"/>
                <w:color w:val="333333"/>
                <w:sz w:val="24"/>
                <w:lang w:val="en-US" w:eastAsia="zh-CN"/>
              </w:rPr>
              <w:t>2</w:t>
            </w:r>
          </w:p>
        </w:tc>
        <w:tc>
          <w:tcPr>
            <w:tcW w:w="307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r>
              <w:rPr>
                <w:rFonts w:hint="eastAsia" w:ascii="仿宋" w:hAnsi="仿宋" w:eastAsia="仿宋" w:cs="仿宋"/>
                <w:color w:val="333333"/>
                <w:sz w:val="24"/>
                <w:lang w:eastAsia="zh-CN"/>
              </w:rPr>
              <w:t>事前绩效评估编制</w:t>
            </w:r>
          </w:p>
        </w:tc>
        <w:tc>
          <w:tcPr>
            <w:tcW w:w="3114"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p>
        </w:tc>
        <w:tc>
          <w:tcPr>
            <w:tcW w:w="135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1" w:hRule="atLeast"/>
        </w:trPr>
        <w:tc>
          <w:tcPr>
            <w:tcW w:w="153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val="en-US" w:eastAsia="zh-CN"/>
              </w:rPr>
            </w:pPr>
            <w:r>
              <w:rPr>
                <w:rFonts w:hint="eastAsia" w:ascii="仿宋" w:hAnsi="仿宋" w:eastAsia="仿宋" w:cs="仿宋"/>
                <w:color w:val="333333"/>
                <w:sz w:val="24"/>
                <w:lang w:val="en-US" w:eastAsia="zh-CN"/>
              </w:rPr>
              <w:t>3</w:t>
            </w:r>
          </w:p>
        </w:tc>
        <w:tc>
          <w:tcPr>
            <w:tcW w:w="307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r>
              <w:rPr>
                <w:rFonts w:hint="eastAsia" w:ascii="仿宋" w:hAnsi="仿宋" w:eastAsia="仿宋" w:cs="仿宋"/>
                <w:color w:val="333333"/>
                <w:sz w:val="24"/>
                <w:lang w:eastAsia="zh-CN"/>
              </w:rPr>
              <w:t>可行性研究报告编制</w:t>
            </w:r>
          </w:p>
        </w:tc>
        <w:tc>
          <w:tcPr>
            <w:tcW w:w="3114"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p>
        </w:tc>
        <w:tc>
          <w:tcPr>
            <w:tcW w:w="135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153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val="en-US" w:eastAsia="zh-CN"/>
              </w:rPr>
            </w:pPr>
            <w:r>
              <w:rPr>
                <w:rFonts w:hint="eastAsia" w:ascii="仿宋" w:hAnsi="仿宋" w:eastAsia="仿宋" w:cs="仿宋"/>
                <w:color w:val="333333"/>
                <w:sz w:val="24"/>
                <w:lang w:val="en-US" w:eastAsia="zh-CN"/>
              </w:rPr>
              <w:t>4</w:t>
            </w:r>
          </w:p>
        </w:tc>
        <w:tc>
          <w:tcPr>
            <w:tcW w:w="307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r>
              <w:rPr>
                <w:rFonts w:hint="eastAsia" w:ascii="仿宋" w:hAnsi="仿宋" w:eastAsia="仿宋" w:cs="仿宋"/>
                <w:color w:val="333333"/>
                <w:sz w:val="24"/>
                <w:lang w:eastAsia="zh-CN"/>
              </w:rPr>
              <w:t>可研报告评审</w:t>
            </w:r>
          </w:p>
        </w:tc>
        <w:tc>
          <w:tcPr>
            <w:tcW w:w="3114"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p>
        </w:tc>
        <w:tc>
          <w:tcPr>
            <w:tcW w:w="135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9078" w:type="dxa"/>
            <w:gridSpan w:val="4"/>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仿宋" w:hAnsi="仿宋" w:eastAsia="仿宋" w:cs="仿宋"/>
                <w:color w:val="333333"/>
                <w:sz w:val="24"/>
                <w:lang w:eastAsia="zh-CN"/>
              </w:rPr>
            </w:pPr>
            <w:r>
              <w:rPr>
                <w:rFonts w:hint="eastAsia" w:ascii="仿宋" w:hAnsi="仿宋" w:eastAsia="仿宋" w:cs="仿宋"/>
                <w:color w:val="333333"/>
                <w:sz w:val="24"/>
                <w:lang w:eastAsia="zh-CN"/>
              </w:rPr>
              <w:t>最终报价合计</w:t>
            </w:r>
            <w:r>
              <w:rPr>
                <w:rFonts w:hint="eastAsia" w:ascii="仿宋" w:hAnsi="仿宋" w:eastAsia="仿宋" w:cs="仿宋"/>
                <w:color w:val="333333"/>
                <w:sz w:val="24"/>
                <w:lang w:val="en-US" w:eastAsia="zh-CN"/>
              </w:rPr>
              <w:t>=</w:t>
            </w:r>
            <w:r>
              <w:rPr>
                <w:rFonts w:hint="eastAsia" w:ascii="仿宋" w:hAnsi="仿宋" w:eastAsia="仿宋" w:cs="仿宋"/>
                <w:color w:val="333333"/>
                <w:sz w:val="24"/>
                <w:lang w:eastAsia="zh-CN"/>
              </w:rPr>
              <w:t>（</w:t>
            </w:r>
            <w:r>
              <w:rPr>
                <w:rFonts w:hint="eastAsia" w:ascii="仿宋" w:hAnsi="仿宋" w:eastAsia="仿宋" w:cs="仿宋"/>
                <w:color w:val="333333"/>
                <w:sz w:val="24"/>
                <w:lang w:val="en-US" w:eastAsia="zh-CN"/>
              </w:rPr>
              <w:t>1+2+3+4</w:t>
            </w:r>
            <w:r>
              <w:rPr>
                <w:rFonts w:hint="eastAsia" w:ascii="仿宋" w:hAnsi="仿宋" w:eastAsia="仿宋" w:cs="仿宋"/>
                <w:color w:val="333333"/>
                <w:sz w:val="24"/>
                <w:lang w:eastAsia="zh-CN"/>
              </w:rPr>
              <w:t>）：大写人民币</w:t>
            </w:r>
            <w:r>
              <w:rPr>
                <w:rFonts w:hint="eastAsia" w:ascii="仿宋" w:hAnsi="仿宋" w:eastAsia="仿宋" w:cs="仿宋"/>
                <w:color w:val="333333"/>
                <w:sz w:val="24"/>
                <w:u w:val="single"/>
                <w:lang w:eastAsia="zh-CN"/>
              </w:rPr>
              <w:t xml:space="preserve">    </w:t>
            </w:r>
            <w:r>
              <w:rPr>
                <w:rFonts w:hint="eastAsia" w:ascii="仿宋" w:hAnsi="仿宋" w:eastAsia="仿宋" w:cs="仿宋"/>
                <w:color w:val="333333"/>
                <w:sz w:val="24"/>
                <w:u w:val="single"/>
                <w:lang w:val="en-US" w:eastAsia="zh-CN"/>
              </w:rPr>
              <w:t xml:space="preserve">   </w:t>
            </w:r>
            <w:r>
              <w:rPr>
                <w:rFonts w:hint="eastAsia" w:ascii="仿宋" w:hAnsi="仿宋" w:eastAsia="仿宋" w:cs="仿宋"/>
                <w:color w:val="333333"/>
                <w:sz w:val="24"/>
                <w:u w:val="single"/>
                <w:lang w:eastAsia="zh-CN"/>
              </w:rPr>
              <w:t xml:space="preserve">       </w:t>
            </w:r>
            <w:r>
              <w:rPr>
                <w:rFonts w:hint="eastAsia" w:ascii="仿宋" w:hAnsi="仿宋" w:eastAsia="仿宋" w:cs="仿宋"/>
                <w:color w:val="333333"/>
                <w:sz w:val="24"/>
                <w:lang w:eastAsia="zh-CN"/>
              </w:rPr>
              <w:t>（¥</w:t>
            </w:r>
            <w:r>
              <w:rPr>
                <w:rFonts w:hint="eastAsia" w:ascii="仿宋" w:hAnsi="仿宋" w:eastAsia="仿宋" w:cs="仿宋"/>
                <w:color w:val="333333"/>
                <w:sz w:val="24"/>
                <w:u w:val="single"/>
                <w:lang w:eastAsia="zh-CN"/>
              </w:rPr>
              <w:t xml:space="preserve">           </w:t>
            </w:r>
            <w:r>
              <w:rPr>
                <w:rFonts w:hint="eastAsia" w:ascii="仿宋" w:hAnsi="仿宋" w:eastAsia="仿宋" w:cs="仿宋"/>
                <w:color w:val="333333"/>
                <w:sz w:val="24"/>
                <w:lang w:eastAsia="zh-CN"/>
              </w:rPr>
              <w:t>）</w:t>
            </w:r>
          </w:p>
        </w:tc>
      </w:tr>
    </w:tbl>
    <w:p>
      <w:pPr>
        <w:snapToGrid w:val="0"/>
        <w:spacing w:line="240" w:lineRule="auto"/>
        <w:jc w:val="center"/>
        <w:rPr>
          <w:rFonts w:hint="eastAsia" w:ascii="仿宋" w:hAnsi="仿宋" w:eastAsia="仿宋" w:cs="仿宋"/>
          <w:color w:val="333333"/>
          <w:sz w:val="24"/>
          <w:lang w:val="en-US" w:eastAsia="zh-CN"/>
        </w:rPr>
      </w:pPr>
      <w:r>
        <w:rPr>
          <w:rFonts w:hint="eastAsia" w:ascii="仿宋" w:hAnsi="仿宋" w:eastAsia="仿宋" w:cs="仿宋"/>
          <w:color w:val="333333"/>
          <w:sz w:val="24"/>
          <w:lang w:val="en-US" w:eastAsia="zh-CN"/>
        </w:rPr>
        <w:t xml:space="preserve">          </w:t>
      </w:r>
    </w:p>
    <w:p>
      <w:pPr>
        <w:pStyle w:val="16"/>
        <w:widowControl/>
        <w:spacing w:before="0" w:beforeAutospacing="0" w:after="0" w:afterAutospacing="0" w:line="240" w:lineRule="auto"/>
        <w:ind w:firstLine="555"/>
        <w:jc w:val="both"/>
        <w:textAlignment w:val="baseline"/>
        <w:rPr>
          <w:rFonts w:hint="eastAsia" w:ascii="仿宋" w:hAnsi="仿宋" w:eastAsia="仿宋" w:cs="仿宋"/>
          <w:color w:val="333333"/>
          <w:sz w:val="28"/>
          <w:szCs w:val="28"/>
        </w:rPr>
      </w:pPr>
    </w:p>
    <w:p>
      <w:pPr>
        <w:pStyle w:val="16"/>
        <w:widowControl/>
        <w:spacing w:before="0" w:beforeAutospacing="0" w:after="120" w:afterAutospacing="0" w:line="240" w:lineRule="auto"/>
        <w:ind w:firstLine="555"/>
        <w:jc w:val="both"/>
        <w:textAlignment w:val="baseline"/>
        <w:rPr>
          <w:rFonts w:hint="eastAsia" w:ascii="仿宋" w:hAnsi="仿宋" w:eastAsia="仿宋" w:cs="仿宋"/>
          <w:color w:val="333333"/>
          <w:sz w:val="24"/>
          <w:szCs w:val="28"/>
        </w:rPr>
      </w:pPr>
      <w:r>
        <w:rPr>
          <w:rFonts w:hint="eastAsia" w:ascii="仿宋" w:hAnsi="仿宋" w:eastAsia="仿宋" w:cs="仿宋"/>
          <w:color w:val="333333"/>
          <w:sz w:val="24"/>
          <w:szCs w:val="28"/>
        </w:rPr>
        <w:t>供应商（公章）：</w:t>
      </w:r>
    </w:p>
    <w:p>
      <w:pPr>
        <w:pStyle w:val="16"/>
        <w:widowControl/>
        <w:spacing w:before="0" w:beforeAutospacing="0" w:after="120" w:afterAutospacing="0" w:line="240" w:lineRule="auto"/>
        <w:ind w:firstLine="555"/>
        <w:jc w:val="both"/>
        <w:textAlignment w:val="baseline"/>
        <w:rPr>
          <w:rFonts w:hint="eastAsia" w:ascii="仿宋" w:hAnsi="仿宋" w:eastAsia="仿宋" w:cs="仿宋"/>
          <w:color w:val="333333"/>
          <w:sz w:val="24"/>
          <w:szCs w:val="28"/>
        </w:rPr>
      </w:pPr>
      <w:r>
        <w:rPr>
          <w:rFonts w:hint="eastAsia" w:ascii="仿宋" w:hAnsi="仿宋" w:eastAsia="仿宋" w:cs="仿宋"/>
          <w:color w:val="333333"/>
          <w:sz w:val="24"/>
          <w:szCs w:val="28"/>
        </w:rPr>
        <w:t>法定代表人或委托代理人签名：</w:t>
      </w:r>
    </w:p>
    <w:p>
      <w:pPr>
        <w:pStyle w:val="16"/>
        <w:widowControl/>
        <w:spacing w:before="0" w:beforeAutospacing="0" w:after="120" w:afterAutospacing="0" w:line="240" w:lineRule="auto"/>
        <w:ind w:firstLine="555"/>
        <w:jc w:val="both"/>
        <w:textAlignment w:val="baseline"/>
        <w:rPr>
          <w:rFonts w:hint="eastAsia" w:ascii="仿宋" w:hAnsi="仿宋" w:eastAsia="仿宋" w:cs="仿宋"/>
          <w:color w:val="333333"/>
          <w:sz w:val="24"/>
          <w:szCs w:val="28"/>
          <w:lang w:eastAsia="zh-CN"/>
        </w:rPr>
      </w:pPr>
      <w:r>
        <w:rPr>
          <w:rFonts w:hint="eastAsia" w:ascii="仿宋" w:hAnsi="仿宋" w:eastAsia="仿宋" w:cs="仿宋"/>
          <w:color w:val="333333"/>
          <w:sz w:val="24"/>
          <w:szCs w:val="28"/>
        </w:rPr>
        <w:t>日 期：</w:t>
      </w:r>
    </w:p>
    <w:sectPr>
      <w:pgSz w:w="11906" w:h="16838"/>
      <w:pgMar w:top="1327" w:right="850" w:bottom="850" w:left="10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30C7F"/>
    <w:multiLevelType w:val="singleLevel"/>
    <w:tmpl w:val="82630C7F"/>
    <w:lvl w:ilvl="0" w:tentative="0">
      <w:start w:val="1"/>
      <w:numFmt w:val="decimal"/>
      <w:lvlText w:val="%1."/>
      <w:lvlJc w:val="left"/>
      <w:pPr>
        <w:tabs>
          <w:tab w:val="left" w:pos="210"/>
        </w:tabs>
        <w:ind w:left="0" w:firstLine="482"/>
      </w:pPr>
      <w:rPr>
        <w:rFonts w:hint="default"/>
      </w:rPr>
    </w:lvl>
  </w:abstractNum>
  <w:abstractNum w:abstractNumId="1">
    <w:nsid w:val="917618E7"/>
    <w:multiLevelType w:val="singleLevel"/>
    <w:tmpl w:val="917618E7"/>
    <w:lvl w:ilvl="0" w:tentative="0">
      <w:start w:val="1"/>
      <w:numFmt w:val="decimal"/>
      <w:lvlText w:val="%1."/>
      <w:lvlJc w:val="left"/>
      <w:pPr>
        <w:tabs>
          <w:tab w:val="left" w:pos="210"/>
        </w:tabs>
        <w:ind w:left="0" w:firstLine="480"/>
      </w:pPr>
      <w:rPr>
        <w:rFonts w:hint="default"/>
      </w:rPr>
    </w:lvl>
  </w:abstractNum>
  <w:abstractNum w:abstractNumId="2">
    <w:nsid w:val="A30B4D6D"/>
    <w:multiLevelType w:val="singleLevel"/>
    <w:tmpl w:val="A30B4D6D"/>
    <w:lvl w:ilvl="0" w:tentative="0">
      <w:start w:val="1"/>
      <w:numFmt w:val="decimal"/>
      <w:lvlText w:val="%1."/>
      <w:lvlJc w:val="left"/>
      <w:pPr>
        <w:tabs>
          <w:tab w:val="left" w:pos="210"/>
        </w:tabs>
        <w:ind w:left="0" w:firstLine="480"/>
      </w:pPr>
      <w:rPr>
        <w:rFonts w:hint="default"/>
      </w:rPr>
    </w:lvl>
  </w:abstractNum>
  <w:abstractNum w:abstractNumId="3">
    <w:nsid w:val="A60F9CBF"/>
    <w:multiLevelType w:val="singleLevel"/>
    <w:tmpl w:val="A60F9CBF"/>
    <w:lvl w:ilvl="0" w:tentative="0">
      <w:start w:val="1"/>
      <w:numFmt w:val="decimal"/>
      <w:lvlText w:val="%1."/>
      <w:lvlJc w:val="left"/>
      <w:pPr>
        <w:tabs>
          <w:tab w:val="left" w:pos="210"/>
        </w:tabs>
        <w:ind w:left="0" w:firstLine="480"/>
      </w:pPr>
      <w:rPr>
        <w:rFonts w:hint="default"/>
      </w:rPr>
    </w:lvl>
  </w:abstractNum>
  <w:abstractNum w:abstractNumId="4">
    <w:nsid w:val="B4B7D787"/>
    <w:multiLevelType w:val="singleLevel"/>
    <w:tmpl w:val="B4B7D787"/>
    <w:lvl w:ilvl="0" w:tentative="0">
      <w:start w:val="1"/>
      <w:numFmt w:val="decimal"/>
      <w:suff w:val="nothing"/>
      <w:lvlText w:val="（%1）"/>
      <w:lvlJc w:val="left"/>
      <w:pPr>
        <w:ind w:left="0" w:firstLine="480"/>
      </w:pPr>
      <w:rPr>
        <w:rFonts w:hint="default"/>
      </w:rPr>
    </w:lvl>
  </w:abstractNum>
  <w:abstractNum w:abstractNumId="5">
    <w:nsid w:val="BDFDF142"/>
    <w:multiLevelType w:val="singleLevel"/>
    <w:tmpl w:val="BDFDF142"/>
    <w:lvl w:ilvl="0" w:tentative="0">
      <w:start w:val="1"/>
      <w:numFmt w:val="chineseCounting"/>
      <w:suff w:val="nothing"/>
      <w:lvlText w:val="（%1）"/>
      <w:lvlJc w:val="left"/>
      <w:pPr>
        <w:ind w:left="0" w:firstLine="0"/>
      </w:pPr>
      <w:rPr>
        <w:rFonts w:hint="eastAsia"/>
      </w:rPr>
    </w:lvl>
  </w:abstractNum>
  <w:abstractNum w:abstractNumId="6">
    <w:nsid w:val="E12363E1"/>
    <w:multiLevelType w:val="singleLevel"/>
    <w:tmpl w:val="E12363E1"/>
    <w:lvl w:ilvl="0" w:tentative="0">
      <w:start w:val="1"/>
      <w:numFmt w:val="decimal"/>
      <w:lvlText w:val="%1."/>
      <w:lvlJc w:val="left"/>
      <w:pPr>
        <w:tabs>
          <w:tab w:val="left" w:pos="210"/>
        </w:tabs>
        <w:ind w:left="0" w:firstLine="480"/>
      </w:pPr>
      <w:rPr>
        <w:rFonts w:hint="default"/>
      </w:rPr>
    </w:lvl>
  </w:abstractNum>
  <w:abstractNum w:abstractNumId="7">
    <w:nsid w:val="ECA3F4B0"/>
    <w:multiLevelType w:val="singleLevel"/>
    <w:tmpl w:val="ECA3F4B0"/>
    <w:lvl w:ilvl="0" w:tentative="0">
      <w:start w:val="1"/>
      <w:numFmt w:val="decimal"/>
      <w:suff w:val="nothing"/>
      <w:lvlText w:val="（%1）"/>
      <w:lvlJc w:val="left"/>
      <w:pPr>
        <w:ind w:left="0" w:firstLine="480"/>
      </w:pPr>
      <w:rPr>
        <w:rFonts w:hint="default"/>
      </w:rPr>
    </w:lvl>
  </w:abstractNum>
  <w:abstractNum w:abstractNumId="8">
    <w:nsid w:val="EEAC1F1E"/>
    <w:multiLevelType w:val="singleLevel"/>
    <w:tmpl w:val="EEAC1F1E"/>
    <w:lvl w:ilvl="0" w:tentative="0">
      <w:start w:val="1"/>
      <w:numFmt w:val="decimal"/>
      <w:lvlText w:val="%1."/>
      <w:lvlJc w:val="left"/>
      <w:pPr>
        <w:tabs>
          <w:tab w:val="left" w:pos="210"/>
        </w:tabs>
        <w:ind w:left="0" w:firstLine="480"/>
      </w:pPr>
      <w:rPr>
        <w:rFonts w:hint="default"/>
      </w:rPr>
    </w:lvl>
  </w:abstractNum>
  <w:abstractNum w:abstractNumId="9">
    <w:nsid w:val="05ECAA5A"/>
    <w:multiLevelType w:val="singleLevel"/>
    <w:tmpl w:val="05ECAA5A"/>
    <w:lvl w:ilvl="0" w:tentative="0">
      <w:start w:val="1"/>
      <w:numFmt w:val="decimal"/>
      <w:suff w:val="nothing"/>
      <w:lvlText w:val="（%1）"/>
      <w:lvlJc w:val="left"/>
      <w:pPr>
        <w:ind w:left="0" w:firstLine="480"/>
      </w:pPr>
      <w:rPr>
        <w:rFonts w:hint="default"/>
      </w:rPr>
    </w:lvl>
  </w:abstractNum>
  <w:abstractNum w:abstractNumId="10">
    <w:nsid w:val="07309CAF"/>
    <w:multiLevelType w:val="singleLevel"/>
    <w:tmpl w:val="07309CAF"/>
    <w:lvl w:ilvl="0" w:tentative="0">
      <w:start w:val="1"/>
      <w:numFmt w:val="chineseCounting"/>
      <w:suff w:val="nothing"/>
      <w:lvlText w:val="%1、"/>
      <w:lvlJc w:val="left"/>
      <w:pPr>
        <w:ind w:left="0" w:firstLine="482"/>
      </w:pPr>
      <w:rPr>
        <w:rFonts w:hint="eastAsia"/>
      </w:rPr>
    </w:lvl>
  </w:abstractNum>
  <w:abstractNum w:abstractNumId="11">
    <w:nsid w:val="3238BF9F"/>
    <w:multiLevelType w:val="singleLevel"/>
    <w:tmpl w:val="3238BF9F"/>
    <w:lvl w:ilvl="0" w:tentative="0">
      <w:start w:val="1"/>
      <w:numFmt w:val="decimal"/>
      <w:lvlText w:val="%1."/>
      <w:lvlJc w:val="left"/>
      <w:pPr>
        <w:tabs>
          <w:tab w:val="left" w:pos="210"/>
        </w:tabs>
        <w:ind w:left="0" w:firstLine="480"/>
      </w:pPr>
      <w:rPr>
        <w:rFonts w:hint="default"/>
      </w:rPr>
    </w:lvl>
  </w:abstractNum>
  <w:abstractNum w:abstractNumId="12">
    <w:nsid w:val="3714B284"/>
    <w:multiLevelType w:val="singleLevel"/>
    <w:tmpl w:val="3714B284"/>
    <w:lvl w:ilvl="0" w:tentative="0">
      <w:start w:val="1"/>
      <w:numFmt w:val="decimal"/>
      <w:lvlText w:val="%1."/>
      <w:lvlJc w:val="left"/>
      <w:pPr>
        <w:tabs>
          <w:tab w:val="left" w:pos="210"/>
        </w:tabs>
        <w:ind w:left="0" w:firstLine="480"/>
      </w:pPr>
      <w:rPr>
        <w:rFonts w:hint="default"/>
      </w:rPr>
    </w:lvl>
  </w:abstractNum>
  <w:abstractNum w:abstractNumId="13">
    <w:nsid w:val="3DF69FDF"/>
    <w:multiLevelType w:val="singleLevel"/>
    <w:tmpl w:val="3DF69FDF"/>
    <w:lvl w:ilvl="0" w:tentative="0">
      <w:start w:val="1"/>
      <w:numFmt w:val="chineseCounting"/>
      <w:suff w:val="nothing"/>
      <w:lvlText w:val="（%1）"/>
      <w:lvlJc w:val="left"/>
      <w:pPr>
        <w:ind w:left="0" w:firstLine="480"/>
      </w:pPr>
      <w:rPr>
        <w:rFonts w:hint="eastAsia"/>
      </w:rPr>
    </w:lvl>
  </w:abstractNum>
  <w:abstractNum w:abstractNumId="14">
    <w:nsid w:val="4F84469F"/>
    <w:multiLevelType w:val="singleLevel"/>
    <w:tmpl w:val="4F84469F"/>
    <w:lvl w:ilvl="0" w:tentative="0">
      <w:start w:val="1"/>
      <w:numFmt w:val="decimal"/>
      <w:lvlText w:val="%1."/>
      <w:lvlJc w:val="left"/>
      <w:pPr>
        <w:tabs>
          <w:tab w:val="left" w:pos="210"/>
        </w:tabs>
        <w:ind w:left="0" w:firstLine="480"/>
      </w:pPr>
      <w:rPr>
        <w:rFonts w:hint="default"/>
      </w:rPr>
    </w:lvl>
  </w:abstractNum>
  <w:abstractNum w:abstractNumId="15">
    <w:nsid w:val="597E026C"/>
    <w:multiLevelType w:val="singleLevel"/>
    <w:tmpl w:val="597E026C"/>
    <w:lvl w:ilvl="0" w:tentative="0">
      <w:start w:val="1"/>
      <w:numFmt w:val="chineseCounting"/>
      <w:suff w:val="nothing"/>
      <w:lvlText w:val="（%1）"/>
      <w:lvlJc w:val="left"/>
      <w:pPr>
        <w:ind w:left="0" w:firstLine="0"/>
      </w:pPr>
      <w:rPr>
        <w:rFonts w:hint="eastAsia"/>
      </w:rPr>
    </w:lvl>
  </w:abstractNum>
  <w:abstractNum w:abstractNumId="16">
    <w:nsid w:val="69B2619E"/>
    <w:multiLevelType w:val="singleLevel"/>
    <w:tmpl w:val="69B2619E"/>
    <w:lvl w:ilvl="0" w:tentative="0">
      <w:start w:val="1"/>
      <w:numFmt w:val="decimal"/>
      <w:lvlText w:val="%1."/>
      <w:lvlJc w:val="left"/>
      <w:pPr>
        <w:tabs>
          <w:tab w:val="left" w:pos="210"/>
        </w:tabs>
        <w:ind w:left="150" w:firstLine="480"/>
      </w:pPr>
      <w:rPr>
        <w:rFonts w:hint="default"/>
      </w:rPr>
    </w:lvl>
  </w:abstractNum>
  <w:abstractNum w:abstractNumId="17">
    <w:nsid w:val="778FE0AB"/>
    <w:multiLevelType w:val="singleLevel"/>
    <w:tmpl w:val="778FE0AB"/>
    <w:lvl w:ilvl="0" w:tentative="0">
      <w:start w:val="1"/>
      <w:numFmt w:val="decimal"/>
      <w:lvlText w:val="%1."/>
      <w:lvlJc w:val="left"/>
      <w:pPr>
        <w:tabs>
          <w:tab w:val="left" w:pos="210"/>
        </w:tabs>
        <w:ind w:left="0" w:firstLine="480"/>
      </w:pPr>
      <w:rPr>
        <w:rFonts w:hint="default"/>
      </w:rPr>
    </w:lvl>
  </w:abstractNum>
  <w:abstractNum w:abstractNumId="18">
    <w:nsid w:val="7EA91428"/>
    <w:multiLevelType w:val="singleLevel"/>
    <w:tmpl w:val="7EA91428"/>
    <w:lvl w:ilvl="0" w:tentative="0">
      <w:start w:val="1"/>
      <w:numFmt w:val="chineseCounting"/>
      <w:suff w:val="nothing"/>
      <w:lvlText w:val="%1、"/>
      <w:lvlJc w:val="left"/>
      <w:pPr>
        <w:ind w:left="0" w:firstLine="0"/>
      </w:pPr>
      <w:rPr>
        <w:rFonts w:hint="eastAsia"/>
      </w:rPr>
    </w:lvl>
  </w:abstractNum>
  <w:num w:numId="1">
    <w:abstractNumId w:val="10"/>
  </w:num>
  <w:num w:numId="2">
    <w:abstractNumId w:val="13"/>
  </w:num>
  <w:num w:numId="3">
    <w:abstractNumId w:val="18"/>
  </w:num>
  <w:num w:numId="4">
    <w:abstractNumId w:val="0"/>
  </w:num>
  <w:num w:numId="5">
    <w:abstractNumId w:val="7"/>
  </w:num>
  <w:num w:numId="6">
    <w:abstractNumId w:val="9"/>
  </w:num>
  <w:num w:numId="7">
    <w:abstractNumId w:val="5"/>
  </w:num>
  <w:num w:numId="8">
    <w:abstractNumId w:val="17"/>
  </w:num>
  <w:num w:numId="9">
    <w:abstractNumId w:val="1"/>
  </w:num>
  <w:num w:numId="10">
    <w:abstractNumId w:val="11"/>
  </w:num>
  <w:num w:numId="11">
    <w:abstractNumId w:val="14"/>
  </w:num>
  <w:num w:numId="12">
    <w:abstractNumId w:val="15"/>
  </w:num>
  <w:num w:numId="13">
    <w:abstractNumId w:val="2"/>
  </w:num>
  <w:num w:numId="14">
    <w:abstractNumId w:val="8"/>
  </w:num>
  <w:num w:numId="15">
    <w:abstractNumId w:val="3"/>
  </w:num>
  <w:num w:numId="16">
    <w:abstractNumId w:val="6"/>
  </w:num>
  <w:num w:numId="17">
    <w:abstractNumId w:val="12"/>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E418B"/>
    <w:rsid w:val="020106AA"/>
    <w:rsid w:val="050A7821"/>
    <w:rsid w:val="083C53EB"/>
    <w:rsid w:val="0880264B"/>
    <w:rsid w:val="0B264B83"/>
    <w:rsid w:val="0F900551"/>
    <w:rsid w:val="112E78A0"/>
    <w:rsid w:val="11867E5D"/>
    <w:rsid w:val="15936386"/>
    <w:rsid w:val="1C454471"/>
    <w:rsid w:val="1CDF3B0E"/>
    <w:rsid w:val="1D9218E6"/>
    <w:rsid w:val="1DD20A0F"/>
    <w:rsid w:val="20A756FA"/>
    <w:rsid w:val="240422A6"/>
    <w:rsid w:val="251A1197"/>
    <w:rsid w:val="27545EB0"/>
    <w:rsid w:val="299018E8"/>
    <w:rsid w:val="2AC770AF"/>
    <w:rsid w:val="2EE432E0"/>
    <w:rsid w:val="2F203225"/>
    <w:rsid w:val="2FEA325A"/>
    <w:rsid w:val="307D747E"/>
    <w:rsid w:val="310D7A87"/>
    <w:rsid w:val="31CA128A"/>
    <w:rsid w:val="32751B8C"/>
    <w:rsid w:val="33A67A93"/>
    <w:rsid w:val="36737986"/>
    <w:rsid w:val="36C76891"/>
    <w:rsid w:val="36EA3F2A"/>
    <w:rsid w:val="38AD57B7"/>
    <w:rsid w:val="3BC67E06"/>
    <w:rsid w:val="3C834E15"/>
    <w:rsid w:val="3E93265B"/>
    <w:rsid w:val="3F432B86"/>
    <w:rsid w:val="41A91629"/>
    <w:rsid w:val="41DB5E48"/>
    <w:rsid w:val="431D774E"/>
    <w:rsid w:val="456F454F"/>
    <w:rsid w:val="45E524CA"/>
    <w:rsid w:val="4629201C"/>
    <w:rsid w:val="46743C3C"/>
    <w:rsid w:val="48276F9D"/>
    <w:rsid w:val="48815B25"/>
    <w:rsid w:val="48D6407F"/>
    <w:rsid w:val="490E2DAD"/>
    <w:rsid w:val="4BA44460"/>
    <w:rsid w:val="4C8936D2"/>
    <w:rsid w:val="4C97005E"/>
    <w:rsid w:val="4E4769A2"/>
    <w:rsid w:val="4E9B7D9D"/>
    <w:rsid w:val="4F722B08"/>
    <w:rsid w:val="51432318"/>
    <w:rsid w:val="53FD32A8"/>
    <w:rsid w:val="5408144B"/>
    <w:rsid w:val="57056EEF"/>
    <w:rsid w:val="57942795"/>
    <w:rsid w:val="5ACB40FC"/>
    <w:rsid w:val="5B947055"/>
    <w:rsid w:val="5CA051D4"/>
    <w:rsid w:val="5E1E2067"/>
    <w:rsid w:val="5EA254A7"/>
    <w:rsid w:val="60E9469A"/>
    <w:rsid w:val="619310C7"/>
    <w:rsid w:val="624E291A"/>
    <w:rsid w:val="625114A3"/>
    <w:rsid w:val="62D13935"/>
    <w:rsid w:val="675863D3"/>
    <w:rsid w:val="67A73EFC"/>
    <w:rsid w:val="697510D0"/>
    <w:rsid w:val="6AF117EA"/>
    <w:rsid w:val="6AF428B7"/>
    <w:rsid w:val="6B7F12E5"/>
    <w:rsid w:val="6CFD4904"/>
    <w:rsid w:val="6E841306"/>
    <w:rsid w:val="71013321"/>
    <w:rsid w:val="71BC14A7"/>
    <w:rsid w:val="727073F5"/>
    <w:rsid w:val="72F13B80"/>
    <w:rsid w:val="76742AFE"/>
    <w:rsid w:val="7751166F"/>
    <w:rsid w:val="781E71C5"/>
    <w:rsid w:val="790169F5"/>
    <w:rsid w:val="79332946"/>
    <w:rsid w:val="7BD65A2C"/>
    <w:rsid w:val="7C52743D"/>
    <w:rsid w:val="7C684EB3"/>
    <w:rsid w:val="7C710DC8"/>
    <w:rsid w:val="7EDF40D3"/>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Autospacing="0" w:after="120" w:afterAutospacing="0" w:line="360" w:lineRule="auto"/>
      <w:jc w:val="left"/>
      <w:outlineLvl w:val="1"/>
    </w:pPr>
    <w:rPr>
      <w:rFonts w:ascii="Times New Roman" w:hAnsi="Times New Roman" w:eastAsia="宋体" w:cs="Times New Roman"/>
      <w:b/>
      <w:sz w:val="24"/>
    </w:rPr>
  </w:style>
  <w:style w:type="paragraph" w:styleId="4">
    <w:name w:val="heading 3"/>
    <w:next w:val="1"/>
    <w:semiHidden/>
    <w:unhideWhenUsed/>
    <w:qFormat/>
    <w:uiPriority w:val="0"/>
    <w:pPr>
      <w:keepNext w:val="0"/>
      <w:keepLines w:val="0"/>
      <w:widowControl w:val="0"/>
      <w:spacing w:beforeAutospacing="0" w:after="120" w:afterAutospacing="0" w:line="360" w:lineRule="auto"/>
      <w:jc w:val="left"/>
      <w:outlineLvl w:val="2"/>
    </w:pPr>
    <w:rPr>
      <w:rFonts w:ascii="Times New Roman" w:hAnsi="Times New Roman" w:eastAsia="宋体" w:cs="Times New Roman"/>
      <w:b/>
      <w:sz w:val="24"/>
    </w:rPr>
  </w:style>
  <w:style w:type="paragraph" w:styleId="5">
    <w:name w:val="heading 4"/>
    <w:next w:val="1"/>
    <w:semiHidden/>
    <w:unhideWhenUsed/>
    <w:qFormat/>
    <w:uiPriority w:val="0"/>
    <w:pPr>
      <w:keepNext w:val="0"/>
      <w:keepLines w:val="0"/>
      <w:widowControl w:val="0"/>
      <w:spacing w:beforeAutospacing="0" w:after="120" w:afterAutospacing="0" w:line="360" w:lineRule="auto"/>
      <w:outlineLvl w:val="3"/>
    </w:pPr>
    <w:rPr>
      <w:rFonts w:ascii="Times New Roman" w:hAnsi="Times New Roman" w:eastAsia="宋体" w:cs="Times New Roman"/>
      <w:sz w:val="24"/>
    </w:rPr>
  </w:style>
  <w:style w:type="paragraph" w:styleId="6">
    <w:name w:val="heading 5"/>
    <w:next w:val="1"/>
    <w:semiHidden/>
    <w:unhideWhenUsed/>
    <w:qFormat/>
    <w:uiPriority w:val="0"/>
    <w:pPr>
      <w:keepNext w:val="0"/>
      <w:keepLines w:val="0"/>
      <w:widowControl w:val="0"/>
      <w:spacing w:beforeLines="0" w:beforeAutospacing="0" w:after="120" w:afterLines="0" w:afterAutospacing="0" w:line="440" w:lineRule="exact"/>
      <w:jc w:val="left"/>
      <w:outlineLvl w:val="4"/>
    </w:pPr>
    <w:rPr>
      <w:rFonts w:ascii="Times New Roman" w:hAnsi="Times New Roman" w:eastAsia="宋体" w:cs="Times New Roman"/>
      <w:sz w:val="24"/>
    </w:rPr>
  </w:style>
  <w:style w:type="paragraph" w:styleId="7">
    <w:name w:val="heading 6"/>
    <w:next w:val="1"/>
    <w:semiHidden/>
    <w:unhideWhenUsed/>
    <w:qFormat/>
    <w:uiPriority w:val="0"/>
    <w:pPr>
      <w:keepNext w:val="0"/>
      <w:keepLines w:val="0"/>
      <w:widowControl w:val="0"/>
      <w:spacing w:beforeLines="0" w:beforeAutospacing="0" w:after="120" w:afterLines="0" w:afterAutospacing="0" w:line="36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widowControl w:val="0"/>
      <w:spacing w:beforeLines="0" w:beforeAutospacing="0" w:after="120" w:afterLines="0" w:afterAutospacing="0" w:line="36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widowControl w:val="0"/>
      <w:spacing w:beforeLines="0" w:beforeAutospacing="0" w:after="120" w:afterLines="0" w:afterAutospacing="0" w:line="36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widowControl w:val="0"/>
      <w:spacing w:beforeLines="0" w:beforeAutospacing="0" w:after="120" w:afterLines="0" w:afterAutospacing="0" w:line="360" w:lineRule="auto"/>
      <w:jc w:val="left"/>
      <w:outlineLvl w:val="8"/>
    </w:pPr>
    <w:rPr>
      <w:rFonts w:ascii="Times New Roman" w:hAnsi="Times New Roman" w:eastAsia="宋体" w:cs="Times New Roman"/>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index 8"/>
    <w:basedOn w:val="1"/>
    <w:next w:val="1"/>
    <w:unhideWhenUsed/>
    <w:qFormat/>
    <w:uiPriority w:val="99"/>
    <w:pPr>
      <w:ind w:left="1400" w:leftChars="1400"/>
    </w:pPr>
    <w:rPr>
      <w:rFonts w:ascii="Times New Roman" w:hAnsi="Times New Roman"/>
    </w:rPr>
  </w:style>
  <w:style w:type="paragraph" w:styleId="12">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13">
    <w:name w:val="Plain Text"/>
    <w:basedOn w:val="1"/>
    <w:next w:val="11"/>
    <w:qFormat/>
    <w:uiPriority w:val="0"/>
    <w:rPr>
      <w:rFonts w:ascii="宋体" w:hAnsi="Courier New"/>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Subtitle"/>
    <w:qFormat/>
    <w:uiPriority w:val="0"/>
    <w:pPr>
      <w:widowControl w:val="0"/>
      <w:spacing w:beforeLines="0" w:beforeAutospacing="0" w:after="240" w:afterLines="0" w:afterAutospacing="0" w:line="240" w:lineRule="auto"/>
      <w:jc w:val="center"/>
      <w:outlineLvl w:val="9"/>
    </w:pPr>
    <w:rPr>
      <w:rFonts w:ascii="Times New Roman" w:hAnsi="Times New Roman" w:eastAsia="宋体" w:cs="Times New Roman"/>
      <w:kern w:val="28"/>
      <w:sz w:val="21"/>
    </w:rPr>
  </w:style>
  <w:style w:type="paragraph" w:styleId="16">
    <w:name w:val="Normal (Web)"/>
    <w:basedOn w:val="1"/>
    <w:qFormat/>
    <w:uiPriority w:val="0"/>
    <w:pPr>
      <w:spacing w:before="100" w:beforeAutospacing="1" w:after="100" w:afterAutospacing="1"/>
      <w:jc w:val="left"/>
    </w:pPr>
    <w:rPr>
      <w:kern w:val="0"/>
      <w:sz w:val="24"/>
    </w:rPr>
  </w:style>
  <w:style w:type="paragraph" w:styleId="17">
    <w:name w:val="Title"/>
    <w:qFormat/>
    <w:uiPriority w:val="0"/>
    <w:pPr>
      <w:spacing w:before="240" w:beforeAutospacing="0" w:after="240" w:afterAutospacing="0" w:line="240" w:lineRule="auto"/>
      <w:jc w:val="center"/>
      <w:outlineLvl w:val="9"/>
    </w:pPr>
    <w:rPr>
      <w:rFonts w:ascii="Times New Roman" w:hAnsi="Times New Roman" w:eastAsia="宋体" w:cs="Times New Roman"/>
      <w:b/>
      <w:sz w:val="32"/>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rPr>
  </w:style>
  <w:style w:type="paragraph" w:customStyle="1" w:styleId="22">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paragraph" w:customStyle="1" w:styleId="23">
    <w:name w:val="文档说明标题"/>
    <w:next w:val="1"/>
    <w:qFormat/>
    <w:uiPriority w:val="0"/>
    <w:pPr>
      <w:keepNext w:val="0"/>
      <w:keepLines w:val="0"/>
      <w:widowControl w:val="0"/>
      <w:spacing w:before="240" w:after="240" w:line="240" w:lineRule="auto"/>
      <w:jc w:val="center"/>
      <w:outlineLvl w:val="9"/>
    </w:pPr>
    <w:rPr>
      <w:rFonts w:ascii="Times New Roman" w:hAnsi="Times New Roman" w:eastAsia="宋体" w:cs="Times New Roman"/>
      <w:b/>
      <w:sz w:val="32"/>
    </w:rPr>
  </w:style>
  <w:style w:type="paragraph" w:customStyle="1" w:styleId="24">
    <w:name w:val="附录标题"/>
    <w:next w:val="1"/>
    <w:qFormat/>
    <w:uiPriority w:val="0"/>
    <w:pPr>
      <w:keepNext w:val="0"/>
      <w:keepLines w:val="0"/>
      <w:widowControl w:val="0"/>
      <w:spacing w:after="240" w:line="240" w:lineRule="auto"/>
      <w:jc w:val="left"/>
      <w:outlineLvl w:val="0"/>
    </w:pPr>
    <w:rPr>
      <w:rFonts w:ascii="Times New Roman" w:hAnsi="Times New Roman" w:eastAsia="宋体" w:cs="Times New Roman"/>
      <w:b/>
      <w:sz w:val="24"/>
    </w:rPr>
  </w:style>
  <w:style w:type="paragraph" w:customStyle="1" w:styleId="25">
    <w:name w:val="内嵌文档标题1"/>
    <w:next w:val="1"/>
    <w:qFormat/>
    <w:uiPriority w:val="0"/>
    <w:pPr>
      <w:widowControl w:val="0"/>
      <w:spacing w:before="240" w:after="240" w:line="360" w:lineRule="auto"/>
      <w:jc w:val="center"/>
      <w:outlineLvl w:val="0"/>
    </w:pPr>
    <w:rPr>
      <w:rFonts w:ascii="Times New Roman" w:hAnsi="Times New Roman" w:eastAsia="宋体" w:cs="Times New Roman"/>
      <w:b/>
      <w:kern w:val="2"/>
      <w:sz w:val="24"/>
    </w:rPr>
  </w:style>
  <w:style w:type="character" w:customStyle="1" w:styleId="26">
    <w:name w:val="强调说明"/>
    <w:qFormat/>
    <w:uiPriority w:val="0"/>
    <w:rPr>
      <w:rFonts w:ascii="Calibri" w:hAnsi="Calibri" w:eastAsia="宋体"/>
      <w:b/>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1983</Words>
  <Characters>2051</Characters>
  <Lines>0</Lines>
  <Paragraphs>0</Paragraphs>
  <TotalTime>237</TotalTime>
  <ScaleCrop>false</ScaleCrop>
  <LinksUpToDate>false</LinksUpToDate>
  <CharactersWithSpaces>2053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2026-07-20T01:54:00Z</dcterms:created>
  <dc:creator>Administrator</dc:creator>
  <cp:lastModifiedBy>开往春天的手扶式拖拉机</cp:lastModifiedBy>
  <cp:lastPrinted>2026-08-18T06:14:28Z</cp:lastPrinted>
  <dcterms:modified xsi:type="dcterms:W3CDTF">2026-08-18T06:14:46Z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eyJoZGlkIjoiNmQ3YWVjN2Q2MzI4ZDZmNTViMDRmOGRjZWIyZGE0ZWQiLCJ1c2VySWQiOiIyNjEzNzE3NjUifQ==</vt:lpwstr>
  </property>
  <property fmtid="{D5CDD505-2E9C-101B-9397-08002B2CF9AE}" pid="4" name="ICV">
    <vt:lpwstr>B0DA6ABFA16640E8B61CC1999FAEC92A_12</vt:lpwstr>
  </property>
</Properties>
</file>