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简体" w:hAnsi="方正小标宋简体" w:eastAsia="方正小标宋简体" w:cs="方正小标宋简体"/>
          <w:b w:val="0"/>
          <w:bCs w:val="0"/>
          <w:sz w:val="44"/>
          <w:szCs w:val="44"/>
          <w:lang w:val="en-US" w:eastAsia="zh-CN"/>
        </w:rPr>
      </w:pPr>
      <w:bookmarkStart w:id="0" w:name="OLE_LINK1"/>
      <w:r>
        <w:rPr>
          <w:rFonts w:hint="eastAsia" w:ascii="方正小标宋简体" w:hAnsi="方正小标宋简体" w:eastAsia="方正小标宋简体" w:cs="方正小标宋简体"/>
          <w:b w:val="0"/>
          <w:bCs w:val="0"/>
          <w:sz w:val="44"/>
          <w:szCs w:val="44"/>
          <w:lang w:val="en-US" w:eastAsia="zh-CN"/>
        </w:rPr>
        <w:t>桂林市中西医结合医院</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1" w:name="_GoBack"/>
      <w:r>
        <w:rPr>
          <w:rFonts w:hint="eastAsia" w:ascii="方正小标宋简体" w:hAnsi="方正小标宋简体" w:eastAsia="方正小标宋简体" w:cs="方正小标宋简体"/>
          <w:b w:val="0"/>
          <w:bCs w:val="0"/>
          <w:sz w:val="44"/>
          <w:szCs w:val="44"/>
          <w:lang w:val="en-US" w:eastAsia="zh-CN"/>
        </w:rPr>
        <w:t>胃肠镜维保服务需求调查公告</w:t>
      </w:r>
    </w:p>
    <w:bookmarkEnd w:id="1"/>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为加强政府采购需求管理，确保采购需求的完整性及明确性, 根据《政府采购需求管理办法》（财库〔2021〕22号）、《广西壮族自治区财政厅关于转发财政部政府采购需求管理办法的通知》（桂财采〔2021〕67号）有关规定，</w:t>
      </w:r>
      <w:r>
        <w:rPr>
          <w:rFonts w:hint="eastAsia" w:ascii="仿宋" w:hAnsi="仿宋" w:eastAsia="仿宋" w:cs="仿宋"/>
          <w:color w:val="auto"/>
          <w:sz w:val="28"/>
          <w:szCs w:val="28"/>
          <w:highlight w:val="none"/>
          <w:lang w:val="en-US" w:eastAsia="zh-CN"/>
        </w:rPr>
        <w:t>我院</w:t>
      </w:r>
      <w:r>
        <w:rPr>
          <w:rFonts w:hint="eastAsia" w:ascii="仿宋" w:hAnsi="仿宋" w:eastAsia="仿宋" w:cs="仿宋"/>
          <w:color w:val="auto"/>
          <w:sz w:val="28"/>
          <w:szCs w:val="28"/>
          <w:highlight w:val="none"/>
        </w:rPr>
        <w:t>就“</w:t>
      </w:r>
      <w:r>
        <w:rPr>
          <w:rFonts w:hint="eastAsia" w:ascii="仿宋" w:hAnsi="仿宋" w:eastAsia="仿宋" w:cs="仿宋"/>
          <w:color w:val="auto"/>
          <w:sz w:val="28"/>
          <w:szCs w:val="28"/>
          <w:highlight w:val="none"/>
          <w:lang w:val="en-US" w:eastAsia="zh-CN"/>
        </w:rPr>
        <w:t>桂林市中西医结合医院胃肠镜维保服务项目</w:t>
      </w:r>
      <w:r>
        <w:rPr>
          <w:rFonts w:hint="eastAsia" w:ascii="仿宋" w:hAnsi="仿宋" w:eastAsia="仿宋" w:cs="仿宋"/>
          <w:color w:val="auto"/>
          <w:sz w:val="28"/>
          <w:szCs w:val="28"/>
          <w:highlight w:val="none"/>
        </w:rPr>
        <w:t>”向潜在市场主体开展采购需求调查，欢迎各市场主体积极</w:t>
      </w:r>
      <w:r>
        <w:rPr>
          <w:rFonts w:hint="eastAsia" w:ascii="仿宋" w:hAnsi="仿宋" w:eastAsia="仿宋" w:cs="仿宋"/>
          <w:color w:val="auto"/>
          <w:sz w:val="28"/>
          <w:szCs w:val="28"/>
          <w:highlight w:val="none"/>
          <w:lang w:val="en-US" w:eastAsia="zh-CN"/>
        </w:rPr>
        <w:t>参与</w:t>
      </w:r>
      <w:r>
        <w:rPr>
          <w:rFonts w:hint="eastAsia" w:ascii="仿宋" w:hAnsi="仿宋" w:eastAsia="仿宋" w:cs="仿宋"/>
          <w:color w:val="auto"/>
          <w:sz w:val="28"/>
          <w:szCs w:val="28"/>
          <w:highlight w:val="none"/>
        </w:rPr>
        <w:t>，现将有关事宜公告如下：</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一、项目基本情况</w:t>
      </w:r>
    </w:p>
    <w:p>
      <w:pPr>
        <w:keepNext w:val="0"/>
        <w:keepLines w:val="0"/>
        <w:pageBreakBefore w:val="0"/>
        <w:widowControl w:val="0"/>
        <w:kinsoku/>
        <w:wordWrap/>
        <w:overflowPunct/>
        <w:topLinePunct w:val="0"/>
        <w:autoSpaceDE/>
        <w:autoSpaceDN/>
        <w:bidi w:val="0"/>
        <w:adjustRightInd/>
        <w:snapToGrid w:val="0"/>
        <w:spacing w:line="460" w:lineRule="exact"/>
        <w:ind w:firstLine="1120" w:firstLineChars="4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整机全保（见附件2）</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二、采购需求调查内容</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本次采购需求调查内容如下：</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1.公司简介（附件1）</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2.报价表（附件2）</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3.资格证明材料（以下证明材料均需加盖单位公章）：</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（1）设备生产厂家营业执照复印件；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（2）供应商营业执照复印件；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（3）法定代表人身份证正反面复印件，供应商的授权委托书原件、委托代理人身份证正反面复印件；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供应商参加政府采购活动前3年内在经营活动中没有重大违法记录及有关信用信息的书面声明或信用信息报告；供应商在“信用中国”网(www.creditchina.gov.cn)查询网站直接打印的信用查询记录,以及中国政府采购网(www.ccgp.gov.cn)等渠道列入失信被执行人、重大税收违法案件当事人名单、政府采购严重违法失信行为记录名单打印材料。</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val="en-US" w:eastAsia="zh-CN"/>
        </w:rPr>
        <w:t>偏离及</w:t>
      </w:r>
      <w:r>
        <w:rPr>
          <w:rFonts w:hint="eastAsia" w:ascii="仿宋" w:hAnsi="仿宋" w:eastAsia="仿宋" w:cs="仿宋"/>
          <w:color w:val="auto"/>
          <w:sz w:val="28"/>
          <w:szCs w:val="28"/>
          <w:highlight w:val="none"/>
        </w:rPr>
        <w:t>合理化建议</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附件3</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三、采购需求调查方式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问卷调查</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四、采购需求调查要求</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市场主体资格要求</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满足《中华人民共和国政府采购法》第二十二条规定。</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对在“信用中国”网站(www.creditchina.gov.cn )、中国政府采购网(www.ccgp.gov.cn )等渠道列入失信被执行人、重大税收违法案件当事人名单、政府采购严重违法失信行为记录名单不得参与报名。</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调查反馈意见及材料送交方式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1.参询</w:t>
      </w:r>
      <w:r>
        <w:rPr>
          <w:rFonts w:hint="eastAsia" w:ascii="仿宋" w:hAnsi="仿宋" w:eastAsia="仿宋" w:cs="仿宋"/>
          <w:color w:val="auto"/>
          <w:sz w:val="28"/>
          <w:szCs w:val="28"/>
          <w:highlight w:val="none"/>
        </w:rPr>
        <w:t>邮件要求如下：邮件主题命名格式:项目名称+公司名称+市场需求调查；邮件内容：</w:t>
      </w:r>
      <w:r>
        <w:rPr>
          <w:rFonts w:hint="eastAsia" w:ascii="仿宋" w:hAnsi="仿宋" w:eastAsia="仿宋" w:cs="仿宋"/>
          <w:color w:val="auto"/>
          <w:sz w:val="28"/>
          <w:szCs w:val="28"/>
          <w:highlight w:val="none"/>
          <w:lang w:val="en-US" w:eastAsia="zh-CN"/>
        </w:rPr>
        <w:t>附件1-3及其他证明材料</w:t>
      </w:r>
      <w:r>
        <w:rPr>
          <w:rFonts w:hint="eastAsia" w:ascii="仿宋" w:hAnsi="仿宋" w:eastAsia="仿宋" w:cs="仿宋"/>
          <w:color w:val="auto"/>
          <w:sz w:val="28"/>
          <w:szCs w:val="28"/>
          <w:highlight w:val="none"/>
        </w:rPr>
        <w:t>（如有）。需提供扫描文件（格式：PDF）以及可编辑的Word格式电子文件（格式：doc或docx），并以邮件附件形式在递交截止时间前提交至邮箱</w:t>
      </w:r>
      <w:r>
        <w:rPr>
          <w:rFonts w:hint="eastAsia" w:ascii="仿宋" w:hAnsi="仿宋" w:eastAsia="仿宋" w:cs="仿宋"/>
          <w:color w:val="auto"/>
          <w:sz w:val="28"/>
          <w:szCs w:val="28"/>
          <w:highlight w:val="none"/>
          <w:lang w:val="en-US" w:eastAsia="zh-CN"/>
        </w:rPr>
        <w:t>791374105@qq</w:t>
      </w:r>
      <w:r>
        <w:rPr>
          <w:rFonts w:hint="eastAsia" w:ascii="仿宋" w:hAnsi="仿宋" w:eastAsia="仿宋" w:cs="仿宋"/>
          <w:color w:val="auto"/>
          <w:sz w:val="28"/>
          <w:szCs w:val="28"/>
          <w:highlight w:val="none"/>
        </w:rPr>
        <w:t>.com</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2.调研</w:t>
      </w:r>
      <w:r>
        <w:rPr>
          <w:rFonts w:hint="eastAsia" w:ascii="仿宋" w:hAnsi="仿宋" w:eastAsia="仿宋" w:cs="仿宋"/>
          <w:color w:val="auto"/>
          <w:sz w:val="28"/>
          <w:szCs w:val="28"/>
          <w:highlight w:val="none"/>
        </w:rPr>
        <w:t>材料递交截止时间：202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25</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至</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31</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17</w:t>
      </w:r>
      <w:r>
        <w:rPr>
          <w:rFonts w:hint="eastAsia" w:ascii="仿宋" w:hAnsi="仿宋" w:eastAsia="仿宋" w:cs="仿宋"/>
          <w:color w:val="auto"/>
          <w:sz w:val="28"/>
          <w:szCs w:val="28"/>
          <w:highlight w:val="none"/>
        </w:rPr>
        <w:t>时前。</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五、需求调查声明</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1.本次需求调查坚持公平、公正、公开原则。</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2.市场主体应对其所提供的意见及相关材料的真实性、准确性负责。</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3.市场主体针对本项目提供的反馈意见，仅作为确定合理采购需求的参考，如被采纳将直接体现在后续招标采购文件中，采购单位和咨询机构在本次需求调查过程中不向参与调查的市场主体收取或支付任何费用。</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4.本次调查仅为信息收集，不构成任何形式的承诺、合同或采购行为，本项目后续将按照政府采购法律法规规定开展采购活动。</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5.凡参加本次需求调查的市场主体均视为同意并接受上述声明。</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六、公告发布媒体</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桂林市中西医结合医院官网</w:t>
      </w:r>
    </w:p>
    <w:p>
      <w:pPr>
        <w:keepNext w:val="0"/>
        <w:keepLines w:val="0"/>
        <w:pageBreakBefore w:val="0"/>
        <w:widowControl w:val="0"/>
        <w:kinsoku/>
        <w:wordWrap/>
        <w:overflowPunct/>
        <w:topLinePunct w:val="0"/>
        <w:autoSpaceDE/>
        <w:autoSpaceDN/>
        <w:bidi w:val="0"/>
        <w:adjustRightInd/>
        <w:snapToGrid w:val="0"/>
        <w:spacing w:line="460" w:lineRule="exact"/>
        <w:ind w:firstLine="562" w:firstLineChars="200"/>
        <w:jc w:val="left"/>
        <w:textAlignment w:val="auto"/>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七、联系方式</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lang w:val="en-US" w:eastAsia="zh-CN"/>
        </w:rPr>
        <w:t>杨老师</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电话：</w:t>
      </w:r>
      <w:r>
        <w:rPr>
          <w:rFonts w:hint="eastAsia" w:ascii="仿宋" w:hAnsi="仿宋" w:eastAsia="仿宋" w:cs="仿宋"/>
          <w:color w:val="auto"/>
          <w:sz w:val="28"/>
          <w:szCs w:val="28"/>
          <w:highlight w:val="none"/>
          <w:lang w:val="en-US" w:eastAsia="zh-CN"/>
        </w:rPr>
        <w:t>17777379199</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时间：2026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25</w:t>
      </w:r>
      <w:r>
        <w:rPr>
          <w:rFonts w:hint="eastAsia" w:ascii="仿宋" w:hAnsi="仿宋" w:eastAsia="仿宋" w:cs="仿宋"/>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val="0"/>
        <w:spacing w:line="460" w:lineRule="exact"/>
        <w:ind w:firstLine="5600" w:firstLineChars="20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桂林市中西医结合医院</w:t>
      </w: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25</w:t>
      </w:r>
      <w:r>
        <w:rPr>
          <w:rFonts w:hint="eastAsia" w:ascii="仿宋" w:hAnsi="仿宋" w:eastAsia="仿宋" w:cs="仿宋"/>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jc w:val="left"/>
        <w:textAlignment w:val="auto"/>
        <w:rPr>
          <w:rFonts w:hint="eastAsia" w:ascii="仿宋" w:hAnsi="仿宋" w:eastAsia="仿宋" w:cs="仿宋"/>
          <w:color w:val="auto"/>
          <w:sz w:val="28"/>
          <w:szCs w:val="28"/>
          <w:highlight w:val="none"/>
        </w:rPr>
      </w:pPr>
    </w:p>
    <w:p>
      <w:pPr>
        <w:widowControl/>
        <w:jc w:val="left"/>
        <w:rPr>
          <w:rFonts w:hint="eastAsia" w:ascii="仿宋_GB2312" w:hAnsi="仿宋_GB2312" w:eastAsia="仿宋_GB2312" w:cs="仿宋_GB2312"/>
          <w:b/>
          <w:kern w:val="0"/>
          <w:sz w:val="28"/>
          <w:szCs w:val="28"/>
        </w:rPr>
      </w:pPr>
    </w:p>
    <w:p>
      <w:pPr>
        <w:widowControl/>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1</w:t>
      </w:r>
      <w:r>
        <w:rPr>
          <w:rFonts w:hint="eastAsia" w:ascii="仿宋_GB2312" w:hAnsi="仿宋_GB2312" w:eastAsia="仿宋_GB2312" w:cs="仿宋_GB2312"/>
          <w:b/>
          <w:kern w:val="0"/>
          <w:sz w:val="28"/>
          <w:szCs w:val="28"/>
        </w:rPr>
        <w:t>：</w:t>
      </w:r>
    </w:p>
    <w:p>
      <w:pPr>
        <w:jc w:val="center"/>
        <w:rPr>
          <w:rFonts w:ascii="Arial" w:hAnsi="Arial" w:cs="Arial"/>
          <w:b/>
          <w:sz w:val="30"/>
          <w:szCs w:val="30"/>
        </w:rPr>
      </w:pPr>
      <w:r>
        <w:rPr>
          <w:rFonts w:hint="eastAsia" w:ascii="Arial" w:hAnsi="Arial" w:cs="Arial"/>
          <w:b/>
          <w:sz w:val="30"/>
          <w:szCs w:val="30"/>
          <w:lang w:val="en-US" w:eastAsia="zh-CN"/>
        </w:rPr>
        <w:t>桂林市中西医结合医院</w:t>
      </w:r>
      <w:r>
        <w:rPr>
          <w:rFonts w:hint="eastAsia" w:ascii="Arial" w:hAnsi="Arial" w:cs="Arial"/>
          <w:b/>
          <w:sz w:val="30"/>
          <w:szCs w:val="30"/>
          <w:lang w:eastAsia="zh-CN"/>
        </w:rPr>
        <w:t>市场调研</w:t>
      </w:r>
      <w:r>
        <w:rPr>
          <w:rFonts w:ascii="Arial" w:hAnsi="Arial" w:cs="Arial"/>
          <w:b/>
          <w:sz w:val="30"/>
          <w:szCs w:val="30"/>
        </w:rPr>
        <w:t>报名表</w:t>
      </w:r>
    </w:p>
    <w:tbl>
      <w:tblPr>
        <w:tblStyle w:val="12"/>
        <w:tblW w:w="9719"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2848"/>
        <w:gridCol w:w="1911"/>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投标</w:t>
            </w:r>
            <w:r>
              <w:rPr>
                <w:rFonts w:hint="eastAsia" w:ascii="仿宋" w:hAnsi="仿宋" w:eastAsia="仿宋" w:cs="仿宋"/>
                <w:kern w:val="0"/>
                <w:sz w:val="28"/>
                <w:szCs w:val="28"/>
                <w:lang w:eastAsia="zh-CN"/>
              </w:rPr>
              <w:t>单位</w:t>
            </w:r>
            <w:r>
              <w:rPr>
                <w:rFonts w:hint="eastAsia" w:ascii="仿宋" w:hAnsi="仿宋" w:eastAsia="仿宋" w:cs="仿宋"/>
                <w:kern w:val="0"/>
                <w:sz w:val="28"/>
                <w:szCs w:val="28"/>
              </w:rPr>
              <w:t>名称</w:t>
            </w:r>
          </w:p>
        </w:tc>
        <w:tc>
          <w:tcPr>
            <w:tcW w:w="7516" w:type="dxa"/>
            <w:gridSpan w:val="3"/>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项目名称</w:t>
            </w:r>
          </w:p>
        </w:tc>
        <w:tc>
          <w:tcPr>
            <w:tcW w:w="7516" w:type="dxa"/>
            <w:gridSpan w:val="3"/>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报名时间</w:t>
            </w:r>
          </w:p>
        </w:tc>
        <w:tc>
          <w:tcPr>
            <w:tcW w:w="7516" w:type="dxa"/>
            <w:gridSpan w:val="3"/>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年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203"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纳税人识别号</w:t>
            </w:r>
          </w:p>
        </w:tc>
        <w:tc>
          <w:tcPr>
            <w:tcW w:w="7516" w:type="dxa"/>
            <w:gridSpan w:val="3"/>
            <w:vAlign w:val="center"/>
          </w:tcPr>
          <w:p>
            <w:pPr>
              <w:jc w:val="center"/>
              <w:rPr>
                <w:rFonts w:hint="eastAsia"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2203" w:type="dxa"/>
            <w:vMerge w:val="restart"/>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联系方式</w:t>
            </w:r>
          </w:p>
        </w:tc>
        <w:tc>
          <w:tcPr>
            <w:tcW w:w="2848" w:type="dxa"/>
            <w:vMerge w:val="restart"/>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sym w:font="Wingdings 2" w:char="00A3"/>
            </w:r>
            <w:r>
              <w:rPr>
                <w:rFonts w:hint="eastAsia" w:ascii="仿宋" w:hAnsi="仿宋" w:eastAsia="仿宋" w:cs="仿宋"/>
                <w:kern w:val="0"/>
                <w:sz w:val="28"/>
                <w:szCs w:val="28"/>
              </w:rPr>
              <w:t>企业法人代表</w:t>
            </w:r>
          </w:p>
          <w:p>
            <w:pPr>
              <w:ind w:firstLine="560" w:firstLineChars="200"/>
              <w:jc w:val="both"/>
              <w:rPr>
                <w:rFonts w:hint="eastAsia" w:ascii="仿宋" w:hAnsi="仿宋" w:eastAsia="仿宋" w:cs="仿宋"/>
                <w:kern w:val="0"/>
                <w:sz w:val="28"/>
                <w:szCs w:val="28"/>
              </w:rPr>
            </w:pPr>
            <w:r>
              <w:rPr>
                <w:rFonts w:hint="eastAsia" w:ascii="仿宋" w:hAnsi="仿宋" w:eastAsia="仿宋" w:cs="仿宋"/>
                <w:kern w:val="0"/>
                <w:sz w:val="28"/>
                <w:szCs w:val="28"/>
              </w:rPr>
              <w:t>□授权代表</w:t>
            </w: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姓名</w:t>
            </w:r>
          </w:p>
        </w:tc>
        <w:tc>
          <w:tcPr>
            <w:tcW w:w="2757" w:type="dxa"/>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身份证号码</w:t>
            </w:r>
          </w:p>
        </w:tc>
        <w:tc>
          <w:tcPr>
            <w:tcW w:w="2757" w:type="dxa"/>
            <w:vAlign w:val="center"/>
          </w:tcPr>
          <w:p>
            <w:pPr>
              <w:jc w:val="center"/>
              <w:rPr>
                <w:rFonts w:hint="eastAsia"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手机</w:t>
            </w:r>
          </w:p>
        </w:tc>
        <w:tc>
          <w:tcPr>
            <w:tcW w:w="2757" w:type="dxa"/>
            <w:vAlign w:val="center"/>
          </w:tcPr>
          <w:p>
            <w:pPr>
              <w:jc w:val="center"/>
              <w:rPr>
                <w:rFonts w:hint="eastAsia" w:ascii="仿宋" w:hAnsi="仿宋" w:eastAsia="仿宋" w:cs="仿宋"/>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203" w:type="dxa"/>
            <w:vMerge w:val="continue"/>
            <w:vAlign w:val="center"/>
          </w:tcPr>
          <w:p>
            <w:pPr>
              <w:jc w:val="center"/>
              <w:rPr>
                <w:rFonts w:hint="eastAsia" w:ascii="仿宋" w:hAnsi="仿宋" w:eastAsia="仿宋" w:cs="仿宋"/>
                <w:kern w:val="0"/>
                <w:sz w:val="28"/>
                <w:szCs w:val="28"/>
              </w:rPr>
            </w:pPr>
          </w:p>
        </w:tc>
        <w:tc>
          <w:tcPr>
            <w:tcW w:w="2848" w:type="dxa"/>
            <w:vMerge w:val="continue"/>
            <w:vAlign w:val="center"/>
          </w:tcPr>
          <w:p>
            <w:pPr>
              <w:jc w:val="center"/>
              <w:rPr>
                <w:rFonts w:hint="eastAsia" w:ascii="仿宋" w:hAnsi="仿宋" w:eastAsia="仿宋" w:cs="仿宋"/>
                <w:kern w:val="0"/>
                <w:sz w:val="28"/>
                <w:szCs w:val="28"/>
              </w:rPr>
            </w:pPr>
          </w:p>
        </w:tc>
        <w:tc>
          <w:tcPr>
            <w:tcW w:w="1911" w:type="dxa"/>
            <w:vAlign w:val="center"/>
          </w:tcPr>
          <w:p>
            <w:pPr>
              <w:jc w:val="center"/>
              <w:rPr>
                <w:rFonts w:hint="eastAsia" w:ascii="仿宋" w:hAnsi="仿宋" w:eastAsia="仿宋" w:cs="仿宋"/>
                <w:kern w:val="0"/>
                <w:sz w:val="28"/>
                <w:szCs w:val="28"/>
              </w:rPr>
            </w:pPr>
            <w:r>
              <w:rPr>
                <w:rFonts w:hint="eastAsia" w:ascii="仿宋" w:hAnsi="仿宋" w:eastAsia="仿宋" w:cs="仿宋"/>
                <w:kern w:val="0"/>
                <w:sz w:val="28"/>
                <w:szCs w:val="28"/>
              </w:rPr>
              <w:t>邮箱</w:t>
            </w:r>
          </w:p>
        </w:tc>
        <w:tc>
          <w:tcPr>
            <w:tcW w:w="2757" w:type="dxa"/>
            <w:vAlign w:val="center"/>
          </w:tcPr>
          <w:p>
            <w:pPr>
              <w:jc w:val="center"/>
              <w:rPr>
                <w:rFonts w:hint="eastAsia" w:ascii="仿宋" w:hAnsi="仿宋" w:eastAsia="仿宋" w:cs="仿宋"/>
                <w:kern w:val="0"/>
                <w:sz w:val="28"/>
                <w:szCs w:val="28"/>
              </w:rPr>
            </w:pPr>
          </w:p>
        </w:tc>
      </w:tr>
    </w:tbl>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附件2</w:t>
      </w:r>
    </w:p>
    <w:p>
      <w:pPr>
        <w:widowControl/>
        <w:jc w:val="center"/>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rPr>
        <w:t>报价表</w:t>
      </w:r>
    </w:p>
    <w:p>
      <w:pPr>
        <w:widowControl/>
        <w:ind w:firstLine="6957" w:firstLineChars="3300"/>
        <w:jc w:val="left"/>
        <w:rPr>
          <w:rFonts w:hint="eastAsia"/>
          <w:lang w:val="en-US" w:eastAsia="zh-CN"/>
        </w:rPr>
      </w:pPr>
      <w:r>
        <w:rPr>
          <w:rFonts w:hint="eastAsia" w:ascii="仿宋_GB2312" w:hAnsi="仿宋_GB2312" w:eastAsia="仿宋_GB2312" w:cs="仿宋_GB2312"/>
          <w:b/>
          <w:bCs/>
          <w:kern w:val="0"/>
          <w:sz w:val="21"/>
          <w:szCs w:val="21"/>
          <w:lang w:eastAsia="zh-CN"/>
        </w:rPr>
        <w:t>单位：万元</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005"/>
        <w:gridCol w:w="978"/>
        <w:gridCol w:w="1575"/>
        <w:gridCol w:w="1167"/>
        <w:gridCol w:w="756"/>
        <w:gridCol w:w="678"/>
        <w:gridCol w:w="127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atLeast"/>
        </w:trPr>
        <w:tc>
          <w:tcPr>
            <w:tcW w:w="751"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序号</w:t>
            </w:r>
          </w:p>
        </w:tc>
        <w:tc>
          <w:tcPr>
            <w:tcW w:w="100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服务名称</w:t>
            </w:r>
          </w:p>
        </w:tc>
        <w:tc>
          <w:tcPr>
            <w:tcW w:w="978"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设备</w:t>
            </w:r>
          </w:p>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类型</w:t>
            </w:r>
          </w:p>
        </w:tc>
        <w:tc>
          <w:tcPr>
            <w:tcW w:w="157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设备型号</w:t>
            </w:r>
          </w:p>
        </w:tc>
        <w:tc>
          <w:tcPr>
            <w:tcW w:w="1167"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机身号码</w:t>
            </w:r>
          </w:p>
        </w:tc>
        <w:tc>
          <w:tcPr>
            <w:tcW w:w="756"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数量</w:t>
            </w:r>
          </w:p>
        </w:tc>
        <w:tc>
          <w:tcPr>
            <w:tcW w:w="678"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单位</w:t>
            </w:r>
          </w:p>
        </w:tc>
        <w:tc>
          <w:tcPr>
            <w:tcW w:w="127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单价（元）</w:t>
            </w:r>
          </w:p>
        </w:tc>
        <w:tc>
          <w:tcPr>
            <w:tcW w:w="129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751" w:type="dxa"/>
            <w:vMerge w:val="restart"/>
            <w:tcBorders>
              <w:top w:val="single" w:color="auto" w:sz="4" w:space="0"/>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1</w:t>
            </w:r>
          </w:p>
        </w:tc>
        <w:tc>
          <w:tcPr>
            <w:tcW w:w="1005" w:type="dxa"/>
            <w:vMerge w:val="restart"/>
            <w:tcBorders>
              <w:top w:val="single" w:color="auto" w:sz="4" w:space="0"/>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胃肠镜维保服务</w:t>
            </w:r>
          </w:p>
        </w:tc>
        <w:tc>
          <w:tcPr>
            <w:tcW w:w="978" w:type="dxa"/>
            <w:vMerge w:val="restart"/>
            <w:tcBorders>
              <w:top w:val="single" w:color="auto" w:sz="4" w:space="0"/>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电子内窥镜</w:t>
            </w:r>
          </w:p>
        </w:tc>
        <w:tc>
          <w:tcPr>
            <w:tcW w:w="157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JTF-260V</w:t>
            </w:r>
          </w:p>
        </w:tc>
        <w:tc>
          <w:tcPr>
            <w:tcW w:w="1167"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2025305</w:t>
            </w:r>
          </w:p>
        </w:tc>
        <w:tc>
          <w:tcPr>
            <w:tcW w:w="756" w:type="dxa"/>
            <w:tcBorders>
              <w:top w:val="single" w:color="auto" w:sz="4" w:space="0"/>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1</w:t>
            </w:r>
          </w:p>
        </w:tc>
        <w:tc>
          <w:tcPr>
            <w:tcW w:w="678" w:type="dxa"/>
            <w:vMerge w:val="restart"/>
            <w:tcBorders>
              <w:top w:val="single" w:color="auto" w:sz="4" w:space="0"/>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rPr>
              <w:t>批</w:t>
            </w:r>
          </w:p>
        </w:tc>
        <w:tc>
          <w:tcPr>
            <w:tcW w:w="1275" w:type="dxa"/>
            <w:vMerge w:val="restart"/>
            <w:tcBorders>
              <w:top w:val="single" w:color="auto" w:sz="4" w:space="0"/>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p>
        </w:tc>
        <w:tc>
          <w:tcPr>
            <w:tcW w:w="1295" w:type="dxa"/>
            <w:vMerge w:val="restart"/>
            <w:tcBorders>
              <w:top w:val="single" w:color="auto" w:sz="4" w:space="0"/>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751"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00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9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57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GIF-HQ290</w:t>
            </w:r>
          </w:p>
        </w:tc>
        <w:tc>
          <w:tcPr>
            <w:tcW w:w="1167"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2063020</w:t>
            </w:r>
          </w:p>
        </w:tc>
        <w:tc>
          <w:tcPr>
            <w:tcW w:w="756" w:type="dxa"/>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1</w:t>
            </w:r>
          </w:p>
        </w:tc>
        <w:tc>
          <w:tcPr>
            <w:tcW w:w="6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7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9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751"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00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9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57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GIF-XP290N</w:t>
            </w:r>
          </w:p>
        </w:tc>
        <w:tc>
          <w:tcPr>
            <w:tcW w:w="1167"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2149607</w:t>
            </w:r>
          </w:p>
        </w:tc>
        <w:tc>
          <w:tcPr>
            <w:tcW w:w="756" w:type="dxa"/>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1</w:t>
            </w:r>
          </w:p>
        </w:tc>
        <w:tc>
          <w:tcPr>
            <w:tcW w:w="6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7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9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751"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00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9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575"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GIF-H290Z</w:t>
            </w:r>
          </w:p>
        </w:tc>
        <w:tc>
          <w:tcPr>
            <w:tcW w:w="1167" w:type="dxa"/>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2136674</w:t>
            </w:r>
          </w:p>
        </w:tc>
        <w:tc>
          <w:tcPr>
            <w:tcW w:w="756" w:type="dxa"/>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1</w:t>
            </w:r>
          </w:p>
        </w:tc>
        <w:tc>
          <w:tcPr>
            <w:tcW w:w="6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7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9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751" w:type="dxa"/>
            <w:vMerge w:val="continue"/>
            <w:tcBorders>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005" w:type="dxa"/>
            <w:vMerge w:val="continue"/>
            <w:tcBorders>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978" w:type="dxa"/>
            <w:vMerge w:val="restart"/>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主机</w:t>
            </w:r>
          </w:p>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型号</w:t>
            </w:r>
          </w:p>
        </w:tc>
        <w:tc>
          <w:tcPr>
            <w:tcW w:w="2742" w:type="dxa"/>
            <w:gridSpan w:val="2"/>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CV-290</w:t>
            </w:r>
          </w:p>
        </w:tc>
        <w:tc>
          <w:tcPr>
            <w:tcW w:w="756" w:type="dxa"/>
            <w:tcBorders>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1</w:t>
            </w:r>
          </w:p>
        </w:tc>
        <w:tc>
          <w:tcPr>
            <w:tcW w:w="678" w:type="dxa"/>
            <w:vMerge w:val="continue"/>
            <w:tcBorders>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75" w:type="dxa"/>
            <w:vMerge w:val="continue"/>
            <w:tcBorders>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95" w:type="dxa"/>
            <w:vMerge w:val="continue"/>
            <w:tcBorders>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751"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00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9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2742" w:type="dxa"/>
            <w:gridSpan w:val="2"/>
            <w:tcBorders>
              <w:top w:val="single" w:color="auto" w:sz="4" w:space="0"/>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r>
              <w:rPr>
                <w:rFonts w:hint="eastAsia" w:ascii="仿宋" w:hAnsi="仿宋" w:eastAsia="仿宋" w:cs="仿宋"/>
                <w:color w:val="333333"/>
                <w:sz w:val="24"/>
                <w:szCs w:val="24"/>
                <w:lang w:val="en-US" w:eastAsia="zh-CN"/>
              </w:rPr>
              <w:t>CLV-290</w:t>
            </w:r>
          </w:p>
        </w:tc>
        <w:tc>
          <w:tcPr>
            <w:tcW w:w="756" w:type="dxa"/>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lang w:val="en-US" w:eastAsia="zh-CN"/>
              </w:rPr>
              <w:t>1</w:t>
            </w:r>
          </w:p>
        </w:tc>
        <w:tc>
          <w:tcPr>
            <w:tcW w:w="678"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7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c>
          <w:tcPr>
            <w:tcW w:w="1295" w:type="dxa"/>
            <w:vMerge w:val="continue"/>
            <w:tcBorders>
              <w:left w:val="single" w:color="auto" w:sz="4" w:space="0"/>
              <w:right w:val="single" w:color="auto" w:sz="4" w:space="0"/>
            </w:tcBorders>
            <w:vAlign w:val="center"/>
          </w:tcPr>
          <w:p>
            <w:pPr>
              <w:pStyle w:val="9"/>
              <w:widowControl/>
              <w:spacing w:before="0" w:beforeAutospacing="0" w:after="0" w:afterAutospacing="0" w:line="500" w:lineRule="exact"/>
              <w:jc w:val="center"/>
              <w:textAlignment w:val="baseline"/>
              <w:rPr>
                <w:rFonts w:hint="eastAsia" w:ascii="仿宋" w:hAnsi="仿宋" w:eastAsia="仿宋" w:cs="仿宋"/>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9480" w:type="dxa"/>
            <w:gridSpan w:val="9"/>
            <w:tcBorders>
              <w:left w:val="single" w:color="auto" w:sz="4" w:space="0"/>
              <w:bottom w:val="single" w:color="auto" w:sz="4" w:space="0"/>
              <w:right w:val="single" w:color="auto" w:sz="4" w:space="0"/>
            </w:tcBorders>
            <w:vAlign w:val="center"/>
          </w:tcPr>
          <w:p>
            <w:pPr>
              <w:pStyle w:val="9"/>
              <w:widowControl/>
              <w:spacing w:before="0" w:beforeAutospacing="0" w:after="0" w:afterAutospacing="0" w:line="500" w:lineRule="exact"/>
              <w:jc w:val="both"/>
              <w:textAlignment w:val="baseline"/>
              <w:rPr>
                <w:rFonts w:hint="eastAsia" w:ascii="仿宋" w:hAnsi="仿宋" w:eastAsia="仿宋" w:cs="仿宋"/>
                <w:color w:val="333333"/>
                <w:sz w:val="24"/>
                <w:szCs w:val="24"/>
                <w:lang w:val="en-US" w:eastAsia="zh-CN"/>
              </w:rPr>
            </w:pPr>
            <w:r>
              <w:rPr>
                <w:rFonts w:hint="eastAsia" w:ascii="仿宋" w:hAnsi="仿宋" w:eastAsia="仿宋" w:cs="仿宋"/>
                <w:color w:val="333333"/>
                <w:sz w:val="24"/>
                <w:szCs w:val="24"/>
              </w:rPr>
              <w:t>每月巡检一次，3个月定检一次</w:t>
            </w:r>
            <w:r>
              <w:rPr>
                <w:rFonts w:hint="eastAsia" w:ascii="仿宋" w:hAnsi="仿宋" w:eastAsia="仿宋" w:cs="仿宋"/>
                <w:color w:val="333333"/>
                <w:sz w:val="24"/>
                <w:szCs w:val="24"/>
                <w:lang w:eastAsia="zh-CN"/>
              </w:rPr>
              <w:t>，</w:t>
            </w:r>
            <w:r>
              <w:rPr>
                <w:rFonts w:hint="eastAsia" w:ascii="仿宋" w:hAnsi="仿宋" w:eastAsia="仿宋" w:cs="仿宋"/>
                <w:color w:val="333333"/>
                <w:sz w:val="24"/>
                <w:szCs w:val="24"/>
                <w:lang w:val="en-US" w:eastAsia="zh-CN"/>
              </w:rPr>
              <w:t>备用镜48小时内提供。</w:t>
            </w:r>
          </w:p>
        </w:tc>
      </w:tr>
    </w:tbl>
    <w:p>
      <w:pPr>
        <w:pStyle w:val="9"/>
        <w:widowControl/>
        <w:spacing w:before="0" w:beforeAutospacing="0" w:after="0" w:afterAutospacing="0" w:line="500" w:lineRule="exact"/>
        <w:jc w:val="both"/>
        <w:textAlignment w:val="baseline"/>
        <w:rPr>
          <w:rFonts w:hint="eastAsia" w:ascii="仿宋_GB2312" w:hAnsi="仿宋_GB2312" w:eastAsia="仿宋_GB2312" w:cs="仿宋_GB2312"/>
          <w:color w:val="333333"/>
          <w:sz w:val="28"/>
          <w:szCs w:val="28"/>
        </w:rPr>
      </w:pPr>
    </w:p>
    <w:p>
      <w:pPr>
        <w:pStyle w:val="9"/>
        <w:widowControl/>
        <w:spacing w:before="0" w:beforeAutospacing="0" w:after="0" w:afterAutospacing="0" w:line="500" w:lineRule="exact"/>
        <w:jc w:val="both"/>
        <w:textAlignment w:val="baseline"/>
        <w:rPr>
          <w:rFonts w:hint="eastAsia" w:ascii="仿宋_GB2312" w:hAnsi="仿宋_GB2312" w:eastAsia="仿宋_GB2312" w:cs="仿宋_GB2312"/>
          <w:color w:val="333333"/>
          <w:sz w:val="28"/>
          <w:szCs w:val="28"/>
        </w:rPr>
      </w:pPr>
    </w:p>
    <w:p>
      <w:pPr>
        <w:pStyle w:val="9"/>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供应商（公章）：</w:t>
      </w:r>
    </w:p>
    <w:p>
      <w:pPr>
        <w:pStyle w:val="9"/>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法定代表人或委托代理人签名：</w:t>
      </w:r>
    </w:p>
    <w:p>
      <w:pPr>
        <w:pStyle w:val="9"/>
        <w:widowControl/>
        <w:spacing w:before="0" w:beforeAutospacing="0" w:after="0" w:afterAutospacing="0" w:line="500" w:lineRule="exact"/>
        <w:ind w:firstLine="555"/>
        <w:jc w:val="both"/>
        <w:textAlignment w:val="baseline"/>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日 期：</w:t>
      </w:r>
    </w:p>
    <w:p>
      <w:pPr>
        <w:keepNext w:val="0"/>
        <w:keepLines w:val="0"/>
        <w:widowControl w:val="0"/>
        <w:suppressLineNumbers w:val="0"/>
        <w:autoSpaceDE w:val="0"/>
        <w:autoSpaceDN/>
        <w:spacing w:before="100" w:beforeAutospacing="1" w:after="0" w:afterAutospacing="0" w:line="560" w:lineRule="exact"/>
        <w:ind w:left="0" w:right="0"/>
        <w:jc w:val="left"/>
        <w:rPr>
          <w:rFonts w:hint="eastAsia" w:ascii="仿宋" w:hAnsi="仿宋" w:eastAsia="仿宋" w:cs="仿宋"/>
          <w:kern w:val="2"/>
          <w:sz w:val="28"/>
          <w:szCs w:val="28"/>
          <w:lang w:val="en-US" w:eastAsia="zh-CN" w:bidi="ar"/>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kern w:val="0"/>
          <w:sz w:val="28"/>
          <w:szCs w:val="28"/>
        </w:rPr>
      </w:pPr>
    </w:p>
    <w:p>
      <w:pPr>
        <w:widowControl/>
        <w:jc w:val="left"/>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3</w:t>
      </w:r>
      <w:r>
        <w:rPr>
          <w:rFonts w:hint="eastAsia" w:ascii="仿宋_GB2312" w:hAnsi="仿宋_GB2312" w:eastAsia="仿宋_GB2312" w:cs="仿宋_GB2312"/>
          <w:b/>
          <w:kern w:val="0"/>
          <w:sz w:val="28"/>
          <w:szCs w:val="28"/>
        </w:rPr>
        <w:t>：</w:t>
      </w:r>
    </w:p>
    <w:p>
      <w:pPr>
        <w:pStyle w:val="2"/>
        <w:jc w:val="center"/>
        <w:rPr>
          <w:rFonts w:hint="default" w:eastAsia="仿宋_GB2312"/>
          <w:sz w:val="44"/>
          <w:szCs w:val="44"/>
          <w:lang w:val="en-US" w:eastAsia="zh-CN"/>
        </w:rPr>
      </w:pPr>
      <w:r>
        <w:rPr>
          <w:rFonts w:hint="eastAsia" w:ascii="仿宋_GB2312" w:hAnsi="仿宋_GB2312" w:eastAsia="仿宋_GB2312" w:cs="仿宋_GB2312"/>
          <w:b/>
          <w:kern w:val="0"/>
          <w:sz w:val="44"/>
          <w:szCs w:val="44"/>
          <w:lang w:val="en-US" w:eastAsia="zh-CN"/>
        </w:rPr>
        <w:t>采购需求表</w:t>
      </w:r>
    </w:p>
    <w:p>
      <w:pPr>
        <w:wordWrap w:val="0"/>
        <w:snapToGrid w:val="0"/>
        <w:spacing w:line="360" w:lineRule="auto"/>
        <w:jc w:val="left"/>
        <w:outlineLvl w:val="0"/>
        <w:rPr>
          <w:rFonts w:hint="eastAsia" w:ascii="宋体" w:hAnsi="宋体" w:cs="宋体"/>
          <w:sz w:val="24"/>
        </w:rPr>
      </w:pP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一、参保内窥镜设备一批</w:t>
      </w:r>
    </w:p>
    <w:tbl>
      <w:tblPr>
        <w:tblStyle w:val="11"/>
        <w:tblpPr w:leftFromText="180" w:rightFromText="180" w:vertAnchor="text" w:tblpX="-31" w:tblpY="214"/>
        <w:tblOverlap w:val="never"/>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1"/>
        <w:gridCol w:w="3538"/>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3081"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设备类型</w:t>
            </w:r>
          </w:p>
        </w:tc>
        <w:tc>
          <w:tcPr>
            <w:tcW w:w="3538"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设备型号</w:t>
            </w:r>
          </w:p>
        </w:tc>
        <w:tc>
          <w:tcPr>
            <w:tcW w:w="2800"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机身号码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081" w:type="dxa"/>
            <w:vMerge w:val="restart"/>
            <w:shd w:val="clear" w:color="auto" w:fill="auto"/>
            <w:vAlign w:val="center"/>
          </w:tcPr>
          <w:p>
            <w:pPr>
              <w:wordWrap w:val="0"/>
              <w:snapToGrid w:val="0"/>
              <w:spacing w:line="360" w:lineRule="auto"/>
              <w:jc w:val="center"/>
              <w:outlineLvl w:val="0"/>
              <w:rPr>
                <w:rFonts w:hint="eastAsia" w:ascii="仿宋" w:hAnsi="仿宋" w:eastAsia="仿宋" w:cs="仿宋"/>
                <w:sz w:val="28"/>
                <w:szCs w:val="28"/>
              </w:rPr>
            </w:pPr>
            <w:r>
              <w:rPr>
                <w:rFonts w:hint="eastAsia" w:ascii="仿宋" w:hAnsi="仿宋" w:eastAsia="仿宋" w:cs="仿宋"/>
                <w:sz w:val="28"/>
                <w:szCs w:val="28"/>
              </w:rPr>
              <w:t>电子内窥镜</w:t>
            </w:r>
          </w:p>
        </w:tc>
        <w:tc>
          <w:tcPr>
            <w:tcW w:w="3538" w:type="dxa"/>
            <w:shd w:val="clear" w:color="auto" w:fill="auto"/>
            <w:vAlign w:val="center"/>
          </w:tcPr>
          <w:p>
            <w:pPr>
              <w:jc w:val="center"/>
              <w:outlineLvl w:val="0"/>
              <w:rPr>
                <w:rFonts w:hint="eastAsia" w:ascii="仿宋" w:hAnsi="仿宋" w:eastAsia="仿宋" w:cs="仿宋"/>
                <w:b/>
                <w:bCs/>
                <w:sz w:val="28"/>
                <w:szCs w:val="28"/>
              </w:rPr>
            </w:pPr>
            <w:r>
              <w:rPr>
                <w:rFonts w:hint="eastAsia" w:ascii="仿宋" w:hAnsi="仿宋" w:eastAsia="仿宋" w:cs="仿宋"/>
                <w:sz w:val="28"/>
                <w:szCs w:val="28"/>
              </w:rPr>
              <w:t>JTF-260V</w:t>
            </w:r>
          </w:p>
        </w:tc>
        <w:tc>
          <w:tcPr>
            <w:tcW w:w="2800"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2025305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081" w:type="dxa"/>
            <w:vMerge w:val="continue"/>
            <w:shd w:val="clear" w:color="auto" w:fill="auto"/>
            <w:vAlign w:val="center"/>
          </w:tcPr>
          <w:p>
            <w:pPr>
              <w:wordWrap w:val="0"/>
              <w:snapToGrid w:val="0"/>
              <w:spacing w:line="360" w:lineRule="auto"/>
              <w:jc w:val="center"/>
              <w:outlineLvl w:val="0"/>
              <w:rPr>
                <w:rFonts w:hint="eastAsia" w:ascii="仿宋" w:hAnsi="仿宋" w:eastAsia="仿宋" w:cs="仿宋"/>
                <w:sz w:val="28"/>
                <w:szCs w:val="28"/>
              </w:rPr>
            </w:pPr>
          </w:p>
        </w:tc>
        <w:tc>
          <w:tcPr>
            <w:tcW w:w="3538"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GIF-HQ290</w:t>
            </w:r>
          </w:p>
        </w:tc>
        <w:tc>
          <w:tcPr>
            <w:tcW w:w="2800"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2063020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3081" w:type="dxa"/>
            <w:vMerge w:val="continue"/>
            <w:shd w:val="clear" w:color="auto" w:fill="auto"/>
            <w:vAlign w:val="center"/>
          </w:tcPr>
          <w:p>
            <w:pPr>
              <w:wordWrap w:val="0"/>
              <w:snapToGrid w:val="0"/>
              <w:spacing w:line="360" w:lineRule="auto"/>
              <w:jc w:val="center"/>
              <w:outlineLvl w:val="0"/>
              <w:rPr>
                <w:rFonts w:hint="eastAsia" w:ascii="仿宋" w:hAnsi="仿宋" w:eastAsia="仿宋" w:cs="仿宋"/>
                <w:sz w:val="28"/>
                <w:szCs w:val="28"/>
              </w:rPr>
            </w:pPr>
          </w:p>
        </w:tc>
        <w:tc>
          <w:tcPr>
            <w:tcW w:w="3538"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GIF-XP290N</w:t>
            </w:r>
          </w:p>
        </w:tc>
        <w:tc>
          <w:tcPr>
            <w:tcW w:w="2800"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2149607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081" w:type="dxa"/>
            <w:vMerge w:val="continue"/>
            <w:shd w:val="clear" w:color="auto" w:fill="auto"/>
            <w:vAlign w:val="center"/>
          </w:tcPr>
          <w:p>
            <w:pPr>
              <w:wordWrap w:val="0"/>
              <w:snapToGrid w:val="0"/>
              <w:spacing w:line="360" w:lineRule="auto"/>
              <w:jc w:val="center"/>
              <w:outlineLvl w:val="0"/>
              <w:rPr>
                <w:rFonts w:hint="eastAsia" w:ascii="仿宋" w:hAnsi="仿宋" w:eastAsia="仿宋" w:cs="仿宋"/>
                <w:sz w:val="28"/>
                <w:szCs w:val="28"/>
              </w:rPr>
            </w:pPr>
          </w:p>
        </w:tc>
        <w:tc>
          <w:tcPr>
            <w:tcW w:w="3538"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GIF-H290Z</w:t>
            </w:r>
          </w:p>
        </w:tc>
        <w:tc>
          <w:tcPr>
            <w:tcW w:w="2800" w:type="dxa"/>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2136674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081" w:type="dxa"/>
            <w:vMerge w:val="restart"/>
            <w:shd w:val="clear" w:color="auto" w:fill="auto"/>
            <w:vAlign w:val="center"/>
          </w:tcPr>
          <w:p>
            <w:pPr>
              <w:wordWrap w:val="0"/>
              <w:snapToGrid w:val="0"/>
              <w:spacing w:line="360" w:lineRule="auto"/>
              <w:jc w:val="center"/>
              <w:outlineLvl w:val="0"/>
              <w:rPr>
                <w:rFonts w:hint="eastAsia" w:ascii="仿宋" w:hAnsi="仿宋" w:eastAsia="仿宋" w:cs="仿宋"/>
                <w:sz w:val="28"/>
                <w:szCs w:val="28"/>
              </w:rPr>
            </w:pPr>
            <w:r>
              <w:rPr>
                <w:rFonts w:hint="eastAsia" w:ascii="仿宋" w:hAnsi="仿宋" w:eastAsia="仿宋" w:cs="仿宋"/>
                <w:sz w:val="28"/>
                <w:szCs w:val="28"/>
              </w:rPr>
              <w:t>主机型号</w:t>
            </w:r>
          </w:p>
        </w:tc>
        <w:tc>
          <w:tcPr>
            <w:tcW w:w="6338" w:type="dxa"/>
            <w:gridSpan w:val="2"/>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cV-290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081" w:type="dxa"/>
            <w:vMerge w:val="continue"/>
            <w:shd w:val="clear" w:color="auto" w:fill="auto"/>
            <w:vAlign w:val="center"/>
          </w:tcPr>
          <w:p>
            <w:pPr>
              <w:wordWrap w:val="0"/>
              <w:snapToGrid w:val="0"/>
              <w:spacing w:line="360" w:lineRule="auto"/>
              <w:jc w:val="center"/>
              <w:outlineLvl w:val="0"/>
              <w:rPr>
                <w:rFonts w:hint="eastAsia" w:ascii="仿宋" w:hAnsi="仿宋" w:eastAsia="仿宋" w:cs="仿宋"/>
                <w:sz w:val="28"/>
                <w:szCs w:val="28"/>
              </w:rPr>
            </w:pPr>
          </w:p>
        </w:tc>
        <w:tc>
          <w:tcPr>
            <w:tcW w:w="6338" w:type="dxa"/>
            <w:gridSpan w:val="2"/>
            <w:shd w:val="clear" w:color="auto" w:fill="auto"/>
            <w:vAlign w:val="center"/>
          </w:tcPr>
          <w:p>
            <w:pPr>
              <w:jc w:val="center"/>
              <w:outlineLvl w:val="0"/>
              <w:rPr>
                <w:rFonts w:hint="eastAsia" w:ascii="仿宋" w:hAnsi="仿宋" w:eastAsia="仿宋" w:cs="仿宋"/>
                <w:sz w:val="28"/>
                <w:szCs w:val="28"/>
              </w:rPr>
            </w:pPr>
            <w:r>
              <w:rPr>
                <w:rFonts w:hint="eastAsia" w:ascii="仿宋" w:hAnsi="仿宋" w:eastAsia="仿宋" w:cs="仿宋"/>
                <w:sz w:val="28"/>
                <w:szCs w:val="28"/>
              </w:rPr>
              <w:t>CLV-290</w:t>
            </w:r>
          </w:p>
        </w:tc>
      </w:tr>
    </w:tbl>
    <w:p>
      <w:pPr>
        <w:pStyle w:val="2"/>
        <w:rPr>
          <w:rFonts w:hint="eastAsia" w:ascii="仿宋" w:hAnsi="仿宋" w:eastAsia="仿宋" w:cs="仿宋"/>
          <w:b/>
          <w:kern w:val="0"/>
          <w:sz w:val="28"/>
          <w:szCs w:val="28"/>
        </w:rPr>
      </w:pP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二、维保服务期限：自签订合同之日起1年</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三、竞标人应具备设备厂家授权维修资质，指派专业工程师负责内镜维修保养服务。</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四、维修保养内容：全保型</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五、维修保养服务要求：</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1.响应时间：每年维保服务须指定专门工程师负责采购人医院的内镜维修和清洗保养培训工作。如指定工程师有变更，应另行通知采购人相关部门备案变更情况。</w:t>
      </w:r>
    </w:p>
    <w:p>
      <w:pPr>
        <w:wordWrap w:val="0"/>
        <w:snapToGrid w:val="0"/>
        <w:spacing w:line="360" w:lineRule="auto"/>
        <w:ind w:firstLine="280" w:firstLineChars="100"/>
        <w:jc w:val="left"/>
        <w:outlineLvl w:val="0"/>
        <w:rPr>
          <w:rFonts w:hint="eastAsia" w:ascii="仿宋" w:hAnsi="仿宋" w:eastAsia="仿宋" w:cs="仿宋"/>
          <w:sz w:val="28"/>
          <w:szCs w:val="28"/>
        </w:rPr>
      </w:pPr>
      <w:r>
        <w:rPr>
          <w:rFonts w:hint="eastAsia" w:ascii="仿宋" w:hAnsi="仿宋" w:eastAsia="仿宋" w:cs="仿宋"/>
          <w:sz w:val="28"/>
          <w:szCs w:val="28"/>
        </w:rPr>
        <w:t>▲2.成交人应在收到采购人拨打报修电话后2小时内响应，维修时间：周一至周五，工程师保证在48小时内提供现场技术支持，并提供每周24小时*7天的电话支持服务。故障诊断：竞标人能合法获得在有效期内的原厂高级故障诊断软件的诊断维修钥匙（service key），并保证不违反国家有关知识产权的法律规定。</w:t>
      </w:r>
    </w:p>
    <w:p>
      <w:pPr>
        <w:wordWrap w:val="0"/>
        <w:snapToGrid w:val="0"/>
        <w:spacing w:line="360" w:lineRule="auto"/>
        <w:ind w:firstLine="280" w:firstLineChars="100"/>
        <w:jc w:val="left"/>
        <w:outlineLvl w:val="0"/>
        <w:rPr>
          <w:rFonts w:hint="eastAsia" w:ascii="仿宋" w:hAnsi="仿宋" w:eastAsia="仿宋" w:cs="仿宋"/>
          <w:sz w:val="28"/>
          <w:szCs w:val="28"/>
        </w:rPr>
      </w:pPr>
      <w:r>
        <w:rPr>
          <w:rFonts w:hint="eastAsia" w:ascii="仿宋" w:hAnsi="仿宋" w:eastAsia="仿宋" w:cs="仿宋"/>
          <w:sz w:val="28"/>
          <w:szCs w:val="28"/>
        </w:rPr>
        <w:t>▲3.每年维保服务须指定专门工程师为采购人提供定期每月不少于1次巡检，每3个月提供不少于1次点检维保服务，成交人工程师应提前一周内通知采购人保养时间，如因采购人原因导致不能执行保养，成交人将不对此承担责任。计划性定期的维修服务检测包括机器清洁、性能测试及校准、必要的机械或电气的检查、以及非紧急性质的补救性维修、和确保系统能按照制造商的产品规格运行的维修。此项定期维护服务间隔进行。并提交检查报告给设备科存档。</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4.在线支持，协助采购人的工程师分析和维修有关设备。电话支援在采购人拨打维修热线后提供In-Site(远程遥控诊断系统)连接，成交人资深工程师即时诊断机器故障，制定维修方案。</w:t>
      </w:r>
    </w:p>
    <w:p>
      <w:pPr>
        <w:wordWrap w:val="0"/>
        <w:snapToGrid w:val="0"/>
        <w:spacing w:line="360" w:lineRule="auto"/>
        <w:ind w:firstLine="280" w:firstLineChars="100"/>
        <w:jc w:val="left"/>
        <w:outlineLvl w:val="0"/>
        <w:rPr>
          <w:rFonts w:hint="eastAsia" w:ascii="仿宋" w:hAnsi="仿宋" w:eastAsia="仿宋" w:cs="仿宋"/>
          <w:sz w:val="28"/>
          <w:szCs w:val="28"/>
        </w:rPr>
      </w:pPr>
      <w:r>
        <w:rPr>
          <w:rFonts w:hint="eastAsia" w:ascii="仿宋" w:hAnsi="仿宋" w:eastAsia="仿宋" w:cs="仿宋"/>
          <w:sz w:val="28"/>
          <w:szCs w:val="28"/>
        </w:rPr>
        <w:t>▲5.零配件维修更换：维修所更换的零配件均保证为原厂进口配件（更换零部件，人工费和出差费等），由成交人承担。零配件保障：保养及维修中需更换的耗品、硬件、软件等。</w:t>
      </w:r>
    </w:p>
    <w:p>
      <w:pPr>
        <w:wordWrap w:val="0"/>
        <w:snapToGrid w:val="0"/>
        <w:spacing w:line="360" w:lineRule="auto"/>
        <w:ind w:firstLine="280" w:firstLineChars="100"/>
        <w:jc w:val="left"/>
        <w:outlineLvl w:val="0"/>
        <w:rPr>
          <w:rFonts w:hint="eastAsia" w:ascii="仿宋" w:hAnsi="仿宋" w:eastAsia="仿宋" w:cs="仿宋"/>
          <w:sz w:val="28"/>
          <w:szCs w:val="28"/>
        </w:rPr>
      </w:pPr>
      <w:r>
        <w:rPr>
          <w:rFonts w:hint="eastAsia" w:ascii="仿宋" w:hAnsi="仿宋" w:eastAsia="仿宋" w:cs="仿宋"/>
          <w:sz w:val="28"/>
          <w:szCs w:val="28"/>
        </w:rPr>
        <w:t>（1）竞标人应具备取得设备厂家零配件的合法渠道，且保证零配件必须是符合国家相关规范要求的合格产品。</w:t>
      </w:r>
    </w:p>
    <w:p>
      <w:pPr>
        <w:wordWrap w:val="0"/>
        <w:snapToGrid w:val="0"/>
        <w:spacing w:line="360" w:lineRule="auto"/>
        <w:ind w:firstLine="280" w:firstLineChars="100"/>
        <w:jc w:val="left"/>
        <w:outlineLvl w:val="0"/>
        <w:rPr>
          <w:rFonts w:hint="eastAsia" w:ascii="仿宋" w:hAnsi="仿宋" w:eastAsia="仿宋" w:cs="仿宋"/>
          <w:sz w:val="28"/>
          <w:szCs w:val="28"/>
        </w:rPr>
      </w:pPr>
      <w:r>
        <w:rPr>
          <w:rFonts w:hint="eastAsia" w:ascii="仿宋" w:hAnsi="仿宋" w:eastAsia="仿宋" w:cs="仿宋"/>
          <w:sz w:val="28"/>
          <w:szCs w:val="28"/>
        </w:rPr>
        <w:t>（2）提供保修所需的同型号状态良好备用镜，并保证备用镜为正规渠道来源，保证有在48小时内提供备品备件的能力，合同期内设备发生的维修备件一般情况下48小时到达医院，最长不超过七个工作日。更换的旧配件由供应商负责处理。</w:t>
      </w:r>
    </w:p>
    <w:p>
      <w:pPr>
        <w:wordWrap w:val="0"/>
        <w:snapToGrid w:val="0"/>
        <w:spacing w:line="360" w:lineRule="auto"/>
        <w:ind w:firstLine="280" w:firstLineChars="100"/>
        <w:jc w:val="left"/>
        <w:outlineLvl w:val="0"/>
        <w:rPr>
          <w:rFonts w:hint="eastAsia" w:ascii="仿宋" w:hAnsi="仿宋" w:eastAsia="仿宋" w:cs="仿宋"/>
          <w:sz w:val="28"/>
          <w:szCs w:val="28"/>
        </w:rPr>
      </w:pPr>
      <w:r>
        <w:rPr>
          <w:rFonts w:hint="eastAsia" w:ascii="仿宋" w:hAnsi="仿宋" w:eastAsia="仿宋" w:cs="仿宋"/>
          <w:sz w:val="28"/>
          <w:szCs w:val="28"/>
        </w:rPr>
        <w:t>（3）备件应是性能良好，原厂未拆封。</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6.配置清单中包括的设备，如果在自然损耗以及按照年保服务方要求的清洗消毒方法的情况下发生故障，维保服务公司须进行无条件维修。</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①在零件齐备的情况下，维保服务公司保证72小时之内完成小维修。</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②在零件齐备的情况下，维保服务公司保证15个工作日内完成大维修。</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③设备发生大修时，维保服务公司须在72小时内提供备品，保证设备正常运行。</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7.质量保证：通过以下任务和工作以保证设备质量达到制造商生产检验质量标准。</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（1）制定检查计划</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（2）图象质量（效果）检查</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（3）评判参数结果</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（4）调整/校准</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（5）记录检查结果</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▲8.开机率保证为95%以上，即每年停机不超过13个工作日(一年353个工作日)，超过一天顺延一天。凡不在维修范围之内的系统部件损坏而导致停机，不包括在此条款之内。</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9.供应商或授权服务机构对本项目设备维护保养服务工程师≥3名，并且具有保修该设备有效的医疗设备服务资质证。</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10.供应商或授权服务机构在中国境内的备件库，具备保税仓库，提供备件库房合同复印件。</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11.提供设备维修的历史记录服务报告。</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12.可提供设备合同状态查询。</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13.支持远程服务的记录查询。</w:t>
      </w:r>
    </w:p>
    <w:p>
      <w:pPr>
        <w:wordWrap w:val="0"/>
        <w:snapToGrid w:val="0"/>
        <w:spacing w:line="360" w:lineRule="auto"/>
        <w:ind w:firstLine="560" w:firstLineChars="200"/>
        <w:jc w:val="left"/>
        <w:outlineLvl w:val="0"/>
        <w:rPr>
          <w:rFonts w:hint="eastAsia" w:ascii="仿宋" w:hAnsi="仿宋" w:eastAsia="仿宋" w:cs="仿宋"/>
          <w:sz w:val="28"/>
          <w:szCs w:val="28"/>
        </w:rPr>
      </w:pPr>
      <w:r>
        <w:rPr>
          <w:rFonts w:hint="eastAsia" w:ascii="仿宋" w:hAnsi="仿宋" w:eastAsia="仿宋" w:cs="仿宋"/>
          <w:sz w:val="28"/>
          <w:szCs w:val="28"/>
        </w:rPr>
        <w:t>14.竞标人应具有经校正的所维修保修保养设备的专业维修工具、仪器，和需校正的工具仪器的校正记录文件。</w:t>
      </w:r>
    </w:p>
    <w:p>
      <w:pPr>
        <w:rPr>
          <w:rFonts w:hint="eastAsia"/>
        </w:rPr>
      </w:pPr>
    </w:p>
    <w:bookmarkEnd w:id="0"/>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lang w:val="en-US" w:eastAsia="zh-CN"/>
        </w:rPr>
      </w:pPr>
    </w:p>
    <w:sectPr>
      <w:pgSz w:w="11906" w:h="16838"/>
      <w:pgMar w:top="1440" w:right="1286"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ZWRlODUyMWU0YjIxZjIzNTY4NDNjNzc4NGZkZWYifQ=="/>
  </w:docVars>
  <w:rsids>
    <w:rsidRoot w:val="001372A9"/>
    <w:rsid w:val="00063AD1"/>
    <w:rsid w:val="000C0EE2"/>
    <w:rsid w:val="001372A9"/>
    <w:rsid w:val="004B3ED1"/>
    <w:rsid w:val="005656CE"/>
    <w:rsid w:val="006621DF"/>
    <w:rsid w:val="008A5815"/>
    <w:rsid w:val="00944AA7"/>
    <w:rsid w:val="00E33F0F"/>
    <w:rsid w:val="00F03C0F"/>
    <w:rsid w:val="024C6AA0"/>
    <w:rsid w:val="0CE65E4F"/>
    <w:rsid w:val="0EAA60E0"/>
    <w:rsid w:val="0EF1121D"/>
    <w:rsid w:val="186D2AD0"/>
    <w:rsid w:val="18D03DBD"/>
    <w:rsid w:val="1A5E5307"/>
    <w:rsid w:val="1B5767E5"/>
    <w:rsid w:val="1C204AFE"/>
    <w:rsid w:val="1CAC2742"/>
    <w:rsid w:val="229200EE"/>
    <w:rsid w:val="24400A52"/>
    <w:rsid w:val="26DA5DAF"/>
    <w:rsid w:val="2D1F7ACA"/>
    <w:rsid w:val="2F572D0F"/>
    <w:rsid w:val="349D2836"/>
    <w:rsid w:val="38D92FF2"/>
    <w:rsid w:val="3BD3519D"/>
    <w:rsid w:val="45136EB1"/>
    <w:rsid w:val="45D73902"/>
    <w:rsid w:val="4811580B"/>
    <w:rsid w:val="534E268B"/>
    <w:rsid w:val="5728063B"/>
    <w:rsid w:val="5FFE34F3"/>
    <w:rsid w:val="60B33F45"/>
    <w:rsid w:val="6181291F"/>
    <w:rsid w:val="62C77DFB"/>
    <w:rsid w:val="6B4F3F91"/>
    <w:rsid w:val="6DF04398"/>
    <w:rsid w:val="6E070B53"/>
    <w:rsid w:val="6EBF5078"/>
    <w:rsid w:val="6FAA4DE4"/>
    <w:rsid w:val="735C0F53"/>
    <w:rsid w:val="77530A8D"/>
    <w:rsid w:val="7D3C5B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9"/>
    <w:pPr>
      <w:keepNext w:val="0"/>
      <w:keepLines w:val="0"/>
      <w:widowControl w:val="0"/>
      <w:spacing w:beforeLines="0" w:beforeAutospacing="0" w:afterLines="0" w:afterAutospacing="0" w:line="240" w:lineRule="auto"/>
      <w:jc w:val="center"/>
      <w:outlineLvl w:val="0"/>
    </w:pPr>
    <w:rPr>
      <w:rFonts w:ascii="黑体" w:hAnsi="黑体" w:eastAsia="黑体" w:cstheme="minorBidi"/>
      <w:kern w:val="0"/>
      <w:sz w:val="30"/>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5">
    <w:name w:val="Body Text Indent"/>
    <w:basedOn w:val="1"/>
    <w:next w:val="1"/>
    <w:qFormat/>
    <w:uiPriority w:val="99"/>
    <w:pPr>
      <w:ind w:firstLine="830" w:firstLineChars="352"/>
    </w:pPr>
    <w:rPr>
      <w:rFonts w:ascii="仿宋_GB2312" w:eastAsia="仿宋_GB2312"/>
      <w:kern w:val="0"/>
      <w:sz w:val="32"/>
      <w:szCs w:val="20"/>
    </w:rPr>
  </w:style>
  <w:style w:type="paragraph" w:styleId="6">
    <w:name w:val="Balloon Text"/>
    <w:basedOn w:val="1"/>
    <w:link w:val="14"/>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index 1"/>
    <w:basedOn w:val="1"/>
    <w:next w:val="1"/>
    <w:qFormat/>
    <w:uiPriority w:val="0"/>
  </w:style>
  <w:style w:type="table" w:styleId="12">
    <w:name w:val="Table Grid"/>
    <w:basedOn w:val="11"/>
    <w:qFormat/>
    <w:uiPriority w:val="0"/>
    <w:rPr>
      <w:rFonts w:ascii="Calibri" w:hAnsi="Calibri" w:eastAsia="宋体" w:cs="黑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批注框文本 Char"/>
    <w:link w:val="6"/>
    <w:semiHidden/>
    <w:qFormat/>
    <w:uiPriority w:val="99"/>
    <w:rPr>
      <w:rFonts w:ascii="Times New Roman" w:hAnsi="Times New Roman" w:eastAsia="宋体" w:cs="Times New Roman"/>
      <w:sz w:val="18"/>
      <w:szCs w:val="18"/>
    </w:rPr>
  </w:style>
  <w:style w:type="character" w:customStyle="1" w:styleId="15">
    <w:name w:val="页脚 Char"/>
    <w:link w:val="7"/>
    <w:qFormat/>
    <w:uiPriority w:val="99"/>
    <w:rPr>
      <w:sz w:val="18"/>
      <w:szCs w:val="18"/>
    </w:rPr>
  </w:style>
  <w:style w:type="character" w:customStyle="1" w:styleId="16">
    <w:name w:val="页眉 Char"/>
    <w:link w:val="8"/>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651</Words>
  <Characters>703</Characters>
  <Lines>4</Lines>
  <Paragraphs>1</Paragraphs>
  <TotalTime>14</TotalTime>
  <ScaleCrop>false</ScaleCrop>
  <LinksUpToDate>false</LinksUpToDate>
  <CharactersWithSpaces>709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2013-07-17T07:27:00Z</dcterms:created>
  <dc:creator>Administrator</dc:creator>
  <cp:lastModifiedBy>开往春天的手扶式拖拉机</cp:lastModifiedBy>
  <cp:lastPrinted>2026-08-25T03:07:08Z</cp:lastPrinted>
  <dcterms:modified xsi:type="dcterms:W3CDTF">2026-08-25T03:18:58Z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8D21734D7EF9450CB15016C0ED382884_13</vt:lpwstr>
  </property>
  <property fmtid="{D5CDD505-2E9C-101B-9397-08002B2CF9AE}" pid="4" name="KSOTemplateDocerSaveRecord">
    <vt:lpwstr>eyJoZGlkIjoiZWYzMWEzMzM0YjdiMmUzMDhiZTk1MGMxZmI3YjBmYzUiLCJ1c2VySWQiOiI1OTI5NDIxMDYifQ==</vt:lpwstr>
  </property>
</Properties>
</file>