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方正小标宋简体" w:hAnsi="方正小标宋简体" w:eastAsia="方正小标宋简体" w:cs="方正小标宋简体"/>
          <w:b/>
          <w:color w:val="auto"/>
          <w:sz w:val="30"/>
          <w:szCs w:val="30"/>
        </w:rPr>
      </w:pPr>
      <w:bookmarkStart w:id="0" w:name="OLE_LINK3"/>
      <w:bookmarkStart w:id="1" w:name="OLE_LINK2"/>
      <w:bookmarkStart w:id="2" w:name="OLE_LINK5"/>
      <w:bookmarkStart w:id="3" w:name="OLE_LINK4"/>
      <w:bookmarkStart w:id="4" w:name="_Toc7563"/>
      <w:bookmarkStart w:id="5" w:name="_Toc12974"/>
      <w:bookmarkStart w:id="6" w:name="OLE_LINK1"/>
      <w:r>
        <w:rPr>
          <w:rFonts w:hint="eastAsia" w:ascii="方正小标宋简体" w:hAnsi="方正小标宋简体" w:eastAsia="方正小标宋简体" w:cs="方正小标宋简体"/>
          <w:b/>
          <w:color w:val="auto"/>
          <w:sz w:val="30"/>
          <w:szCs w:val="30"/>
        </w:rPr>
        <w:t>桂林市中西医结合医院</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方正小标宋简体" w:hAnsi="方正小标宋简体" w:eastAsia="方正小标宋简体" w:cs="方正小标宋简体"/>
          <w:color w:val="auto"/>
          <w:sz w:val="30"/>
          <w:szCs w:val="30"/>
        </w:rPr>
      </w:pPr>
      <w:r>
        <w:rPr>
          <w:rFonts w:hint="eastAsia" w:ascii="方正小标宋简体" w:hAnsi="方正小标宋简体" w:eastAsia="方正小标宋简体" w:cs="方正小标宋简体"/>
          <w:b/>
          <w:color w:val="auto"/>
          <w:sz w:val="30"/>
          <w:szCs w:val="30"/>
          <w:lang w:val="en-US" w:eastAsia="zh-CN"/>
        </w:rPr>
        <w:t>康复设备一批采购项目采购</w:t>
      </w:r>
      <w:r>
        <w:rPr>
          <w:rFonts w:hint="eastAsia" w:ascii="方正小标宋简体" w:hAnsi="方正小标宋简体" w:eastAsia="方正小标宋简体" w:cs="方正小标宋简体"/>
          <w:b/>
          <w:color w:val="auto"/>
          <w:sz w:val="30"/>
          <w:szCs w:val="30"/>
        </w:rPr>
        <w:t>公告</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桂林市中西医结合医院</w:t>
      </w:r>
      <w:r>
        <w:rPr>
          <w:rFonts w:hint="eastAsia" w:ascii="仿宋" w:hAnsi="仿宋" w:eastAsia="仿宋" w:cs="宋体"/>
          <w:color w:val="auto"/>
          <w:sz w:val="21"/>
          <w:szCs w:val="21"/>
          <w:lang w:val="en-US" w:eastAsia="zh-CN"/>
        </w:rPr>
        <w:t>康复设备一批采购项目</w:t>
      </w:r>
      <w:r>
        <w:rPr>
          <w:rFonts w:hint="eastAsia" w:ascii="仿宋" w:hAnsi="仿宋" w:eastAsia="仿宋" w:cs="宋体"/>
          <w:color w:val="auto"/>
          <w:sz w:val="21"/>
          <w:szCs w:val="21"/>
        </w:rPr>
        <w:t>进行</w:t>
      </w:r>
      <w:r>
        <w:rPr>
          <w:rFonts w:hint="eastAsia" w:ascii="仿宋" w:hAnsi="仿宋" w:eastAsia="仿宋" w:cs="宋体"/>
          <w:color w:val="auto"/>
          <w:sz w:val="21"/>
          <w:szCs w:val="21"/>
          <w:lang w:val="en-US" w:eastAsia="zh-CN"/>
        </w:rPr>
        <w:t>院内</w:t>
      </w:r>
      <w:r>
        <w:rPr>
          <w:rFonts w:hint="eastAsia" w:ascii="仿宋" w:hAnsi="仿宋" w:eastAsia="仿宋" w:cs="宋体"/>
          <w:color w:val="auto"/>
          <w:sz w:val="21"/>
          <w:szCs w:val="21"/>
        </w:rPr>
        <w:t>评审</w:t>
      </w:r>
      <w:r>
        <w:rPr>
          <w:rFonts w:hint="eastAsia" w:ascii="仿宋" w:hAnsi="仿宋" w:eastAsia="仿宋" w:cs="宋体"/>
          <w:color w:val="auto"/>
          <w:sz w:val="21"/>
          <w:szCs w:val="21"/>
          <w:lang w:val="en-US" w:eastAsia="zh-CN"/>
        </w:rPr>
        <w:t>采购</w:t>
      </w:r>
      <w:r>
        <w:rPr>
          <w:rFonts w:hint="eastAsia" w:ascii="仿宋" w:hAnsi="仿宋" w:eastAsia="仿宋" w:cs="宋体"/>
          <w:color w:val="auto"/>
          <w:sz w:val="21"/>
          <w:szCs w:val="21"/>
        </w:rPr>
        <w:t xml:space="preserve">。请有资质能力的单位前来参与。 </w:t>
      </w:r>
    </w:p>
    <w:p>
      <w:pPr>
        <w:keepNext w:val="0"/>
        <w:keepLines w:val="0"/>
        <w:pageBreakBefore w:val="0"/>
        <w:widowControl w:val="0"/>
        <w:numPr>
          <w:ilvl w:val="0"/>
          <w:numId w:val="1"/>
        </w:numPr>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color w:val="auto"/>
          <w:sz w:val="21"/>
          <w:szCs w:val="21"/>
          <w:lang w:val="en-US" w:eastAsia="zh-CN"/>
        </w:rPr>
      </w:pPr>
      <w:r>
        <w:rPr>
          <w:rFonts w:hint="eastAsia" w:ascii="仿宋" w:hAnsi="仿宋" w:eastAsia="仿宋" w:cs="宋体"/>
          <w:b/>
          <w:bCs/>
          <w:color w:val="auto"/>
          <w:sz w:val="21"/>
          <w:szCs w:val="21"/>
        </w:rPr>
        <w:t>项目名称：</w:t>
      </w:r>
      <w:r>
        <w:rPr>
          <w:rFonts w:hint="eastAsia" w:ascii="仿宋" w:hAnsi="仿宋" w:eastAsia="仿宋" w:cs="宋体"/>
          <w:color w:val="auto"/>
          <w:sz w:val="21"/>
          <w:szCs w:val="21"/>
        </w:rPr>
        <w:t>桂林市中西医结合医院</w:t>
      </w:r>
      <w:r>
        <w:rPr>
          <w:rFonts w:hint="eastAsia" w:ascii="仿宋" w:hAnsi="仿宋" w:eastAsia="仿宋" w:cs="宋体"/>
          <w:color w:val="auto"/>
          <w:sz w:val="21"/>
          <w:szCs w:val="21"/>
          <w:lang w:val="en-US" w:eastAsia="zh-CN"/>
        </w:rPr>
        <w:t>康复设备一批采购项目采购</w:t>
      </w:r>
      <w:r>
        <w:rPr>
          <w:rFonts w:hint="eastAsia" w:ascii="仿宋" w:hAnsi="仿宋" w:eastAsia="仿宋" w:cs="宋体"/>
          <w:color w:val="auto"/>
          <w:sz w:val="21"/>
          <w:szCs w:val="21"/>
        </w:rPr>
        <w:t>公告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color w:val="auto"/>
          <w:sz w:val="21"/>
          <w:szCs w:val="21"/>
        </w:rPr>
      </w:pPr>
      <w:r>
        <w:rPr>
          <w:rFonts w:hint="eastAsia" w:ascii="仿宋" w:hAnsi="仿宋" w:eastAsia="仿宋" w:cs="宋体"/>
          <w:b/>
          <w:bCs/>
          <w:color w:val="auto"/>
          <w:sz w:val="21"/>
          <w:szCs w:val="21"/>
        </w:rPr>
        <w:t>二、资金性质：</w:t>
      </w:r>
      <w:r>
        <w:rPr>
          <w:rFonts w:hint="eastAsia" w:ascii="仿宋" w:hAnsi="仿宋" w:eastAsia="仿宋" w:cs="宋体"/>
          <w:color w:val="auto"/>
          <w:sz w:val="21"/>
          <w:szCs w:val="21"/>
          <w:lang w:val="en-US" w:eastAsia="zh-CN"/>
        </w:rPr>
        <w:t>自筹</w:t>
      </w:r>
      <w:r>
        <w:rPr>
          <w:rFonts w:hint="eastAsia" w:ascii="仿宋" w:hAnsi="仿宋" w:eastAsia="仿宋" w:cs="宋体"/>
          <w:color w:val="auto"/>
          <w:sz w:val="21"/>
          <w:szCs w:val="21"/>
        </w:rPr>
        <w:t>资金</w:t>
      </w:r>
    </w:p>
    <w:p>
      <w:pPr>
        <w:keepNext w:val="0"/>
        <w:keepLines w:val="0"/>
        <w:pageBreakBefore w:val="0"/>
        <w:widowControl w:val="0"/>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b/>
          <w:bCs/>
          <w:color w:val="auto"/>
          <w:sz w:val="21"/>
          <w:szCs w:val="21"/>
        </w:rPr>
      </w:pPr>
      <w:r>
        <w:rPr>
          <w:rFonts w:hint="eastAsia" w:ascii="仿宋" w:hAnsi="仿宋" w:eastAsia="仿宋" w:cs="宋体"/>
          <w:b/>
          <w:bCs/>
          <w:color w:val="auto"/>
          <w:sz w:val="21"/>
          <w:szCs w:val="21"/>
        </w:rPr>
        <w:t>三、对参询单位要求</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（一）符合《中华人民共和国政府采购法》第22条要求；</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（二）本次询价不接受联合体参询；</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（三）本项目未经采购人许可不得转包、分包；</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（四）法定代表人（或股东）为同一个人的参询单位，或归属于同一个参询单位的母公司、全资子公司、控股公司、只能有一家参加同一项目的投标；</w:t>
      </w:r>
    </w:p>
    <w:p>
      <w:pPr>
        <w:keepNext w:val="0"/>
        <w:keepLines w:val="0"/>
        <w:pageBreakBefore w:val="0"/>
        <w:widowControl w:val="0"/>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b/>
          <w:bCs/>
          <w:color w:val="auto"/>
          <w:sz w:val="21"/>
          <w:szCs w:val="21"/>
        </w:rPr>
      </w:pPr>
      <w:r>
        <w:rPr>
          <w:rFonts w:hint="eastAsia" w:ascii="仿宋" w:hAnsi="仿宋" w:eastAsia="仿宋" w:cs="宋体"/>
          <w:b/>
          <w:bCs/>
          <w:color w:val="auto"/>
          <w:sz w:val="21"/>
          <w:szCs w:val="21"/>
        </w:rPr>
        <w:t>四、报名信息</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（一）现场报名时间：202</w:t>
      </w:r>
      <w:r>
        <w:rPr>
          <w:rFonts w:hint="eastAsia" w:ascii="仿宋" w:hAnsi="仿宋" w:eastAsia="仿宋" w:cs="宋体"/>
          <w:color w:val="auto"/>
          <w:sz w:val="21"/>
          <w:szCs w:val="21"/>
          <w:lang w:val="en-US" w:eastAsia="zh-CN"/>
        </w:rPr>
        <w:t>6</w:t>
      </w:r>
      <w:r>
        <w:rPr>
          <w:rFonts w:hint="eastAsia" w:ascii="仿宋" w:hAnsi="仿宋" w:eastAsia="仿宋" w:cs="宋体"/>
          <w:color w:val="auto"/>
          <w:sz w:val="21"/>
          <w:szCs w:val="21"/>
        </w:rPr>
        <w:t>年</w:t>
      </w:r>
      <w:r>
        <w:rPr>
          <w:rFonts w:hint="eastAsia" w:ascii="仿宋" w:hAnsi="仿宋" w:eastAsia="仿宋" w:cs="宋体"/>
          <w:color w:val="auto"/>
          <w:sz w:val="21"/>
          <w:szCs w:val="21"/>
          <w:lang w:val="en-US" w:eastAsia="zh-CN"/>
        </w:rPr>
        <w:t>10</w:t>
      </w:r>
      <w:r>
        <w:rPr>
          <w:rFonts w:hint="eastAsia" w:ascii="仿宋" w:hAnsi="仿宋" w:eastAsia="仿宋" w:cs="宋体"/>
          <w:color w:val="auto"/>
          <w:sz w:val="21"/>
          <w:szCs w:val="21"/>
        </w:rPr>
        <w:t>月</w:t>
      </w:r>
      <w:r>
        <w:rPr>
          <w:rFonts w:hint="eastAsia" w:ascii="仿宋" w:hAnsi="仿宋" w:eastAsia="仿宋" w:cs="宋体"/>
          <w:color w:val="auto"/>
          <w:sz w:val="21"/>
          <w:szCs w:val="21"/>
          <w:lang w:val="en-US" w:eastAsia="zh-CN"/>
        </w:rPr>
        <w:t>22</w:t>
      </w:r>
      <w:r>
        <w:rPr>
          <w:rFonts w:hint="eastAsia" w:ascii="仿宋" w:hAnsi="仿宋" w:eastAsia="仿宋" w:cs="宋体"/>
          <w:color w:val="auto"/>
          <w:sz w:val="21"/>
          <w:szCs w:val="21"/>
        </w:rPr>
        <w:t>日至202</w:t>
      </w:r>
      <w:r>
        <w:rPr>
          <w:rFonts w:hint="eastAsia" w:ascii="仿宋" w:hAnsi="仿宋" w:eastAsia="仿宋" w:cs="宋体"/>
          <w:color w:val="auto"/>
          <w:sz w:val="21"/>
          <w:szCs w:val="21"/>
          <w:lang w:val="en-US" w:eastAsia="zh-CN"/>
        </w:rPr>
        <w:t>6</w:t>
      </w:r>
      <w:r>
        <w:rPr>
          <w:rFonts w:hint="eastAsia" w:ascii="仿宋" w:hAnsi="仿宋" w:eastAsia="仿宋" w:cs="宋体"/>
          <w:color w:val="auto"/>
          <w:sz w:val="21"/>
          <w:szCs w:val="21"/>
        </w:rPr>
        <w:t>年</w:t>
      </w:r>
      <w:r>
        <w:rPr>
          <w:rFonts w:hint="eastAsia" w:ascii="仿宋" w:hAnsi="仿宋" w:eastAsia="仿宋" w:cs="宋体"/>
          <w:color w:val="auto"/>
          <w:sz w:val="21"/>
          <w:szCs w:val="21"/>
          <w:lang w:val="en-US" w:eastAsia="zh-CN"/>
        </w:rPr>
        <w:t>10</w:t>
      </w:r>
      <w:r>
        <w:rPr>
          <w:rFonts w:hint="eastAsia" w:ascii="仿宋" w:hAnsi="仿宋" w:eastAsia="仿宋" w:cs="宋体"/>
          <w:color w:val="auto"/>
          <w:sz w:val="21"/>
          <w:szCs w:val="21"/>
        </w:rPr>
        <w:t>月</w:t>
      </w:r>
      <w:r>
        <w:rPr>
          <w:rFonts w:hint="eastAsia" w:ascii="仿宋" w:hAnsi="仿宋" w:eastAsia="仿宋" w:cs="宋体"/>
          <w:color w:val="auto"/>
          <w:sz w:val="21"/>
          <w:szCs w:val="21"/>
          <w:lang w:val="en-US" w:eastAsia="zh-CN"/>
        </w:rPr>
        <w:t>28</w:t>
      </w:r>
      <w:r>
        <w:rPr>
          <w:rFonts w:hint="eastAsia" w:ascii="仿宋" w:hAnsi="仿宋" w:eastAsia="仿宋" w:cs="宋体"/>
          <w:color w:val="auto"/>
          <w:sz w:val="21"/>
          <w:szCs w:val="21"/>
        </w:rPr>
        <w:t>日下午5点，逾期不再接收报名（不接受邮件报名）；</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（二）现场报名地点：桂林市七星区半塘路6号</w:t>
      </w:r>
      <w:r>
        <w:rPr>
          <w:rFonts w:ascii="Calibri" w:hAnsi="Calibri" w:eastAsia="仿宋" w:cs="Calibri"/>
          <w:color w:val="auto"/>
          <w:sz w:val="21"/>
          <w:szCs w:val="21"/>
        </w:rPr>
        <w:t> </w:t>
      </w:r>
      <w:r>
        <w:rPr>
          <w:rFonts w:hint="eastAsia" w:ascii="仿宋" w:hAnsi="仿宋" w:eastAsia="仿宋" w:cs="宋体"/>
          <w:color w:val="auto"/>
          <w:sz w:val="21"/>
          <w:szCs w:val="21"/>
        </w:rPr>
        <w:t>桂林市中西医结合医院</w:t>
      </w:r>
      <w:r>
        <w:rPr>
          <w:rFonts w:ascii="Calibri" w:hAnsi="Calibri" w:eastAsia="仿宋" w:cs="Calibri"/>
          <w:color w:val="auto"/>
          <w:sz w:val="21"/>
          <w:szCs w:val="21"/>
        </w:rPr>
        <w:t> </w:t>
      </w:r>
      <w:r>
        <w:rPr>
          <w:rFonts w:hint="eastAsia" w:ascii="仿宋" w:hAnsi="仿宋" w:eastAsia="仿宋" w:cs="宋体"/>
          <w:color w:val="auto"/>
          <w:sz w:val="21"/>
          <w:szCs w:val="21"/>
        </w:rPr>
        <w:t>设备科；</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（三）参询单位报名时须提供：</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1</w:t>
      </w:r>
      <w:r>
        <w:rPr>
          <w:rFonts w:hint="eastAsia" w:ascii="仿宋" w:hAnsi="仿宋" w:eastAsia="仿宋" w:cs="宋体"/>
          <w:color w:val="auto"/>
          <w:sz w:val="21"/>
          <w:szCs w:val="21"/>
          <w:lang w:val="en-US" w:eastAsia="zh-CN"/>
        </w:rPr>
        <w:t>.</w:t>
      </w:r>
      <w:r>
        <w:rPr>
          <w:rFonts w:hint="eastAsia" w:ascii="仿宋" w:hAnsi="仿宋" w:eastAsia="仿宋" w:cs="宋体"/>
          <w:color w:val="auto"/>
          <w:sz w:val="21"/>
          <w:szCs w:val="21"/>
        </w:rPr>
        <w:t>营业执照、税务登记证、组织机构代码证(三证合一的提供三证合一证)、法人身份证及受委托人身份证，以上文件需提供复印件并加盖单位公章，如是法人授权委托的须提供授权委托书原件并加盖公章；</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2</w:t>
      </w:r>
      <w:r>
        <w:rPr>
          <w:rFonts w:hint="eastAsia" w:ascii="仿宋" w:hAnsi="仿宋" w:eastAsia="仿宋" w:cs="宋体"/>
          <w:color w:val="auto"/>
          <w:sz w:val="21"/>
          <w:szCs w:val="21"/>
          <w:lang w:val="en-US" w:eastAsia="zh-CN"/>
        </w:rPr>
        <w:t>.</w:t>
      </w:r>
      <w:r>
        <w:rPr>
          <w:rFonts w:hint="eastAsia" w:ascii="仿宋" w:hAnsi="仿宋" w:eastAsia="仿宋" w:cs="宋体"/>
          <w:color w:val="auto"/>
          <w:sz w:val="21"/>
          <w:szCs w:val="21"/>
        </w:rPr>
        <w:t>经营许可证、资质证书；资料复印件并加盖公章。</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3</w:t>
      </w:r>
      <w:r>
        <w:rPr>
          <w:rFonts w:hint="eastAsia" w:ascii="仿宋" w:hAnsi="仿宋" w:eastAsia="仿宋" w:cs="宋体"/>
          <w:color w:val="auto"/>
          <w:sz w:val="21"/>
          <w:szCs w:val="21"/>
          <w:lang w:val="en-US" w:eastAsia="zh-CN"/>
        </w:rPr>
        <w:t>.</w:t>
      </w:r>
      <w:r>
        <w:rPr>
          <w:rFonts w:hint="eastAsia" w:ascii="仿宋" w:hAnsi="仿宋" w:eastAsia="仿宋" w:cs="宋体"/>
          <w:color w:val="auto"/>
          <w:sz w:val="21"/>
          <w:szCs w:val="21"/>
        </w:rPr>
        <w:t>近3年内无不良记录，无采取不合法方式解决合同纠纷记录证明或承诺声明（原件）加盖单位公章；</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4</w:t>
      </w:r>
      <w:r>
        <w:rPr>
          <w:rFonts w:hint="eastAsia" w:ascii="仿宋" w:hAnsi="仿宋" w:eastAsia="仿宋" w:cs="宋体"/>
          <w:color w:val="auto"/>
          <w:sz w:val="21"/>
          <w:szCs w:val="21"/>
          <w:lang w:val="en-US" w:eastAsia="zh-CN"/>
        </w:rPr>
        <w:t>.</w:t>
      </w:r>
      <w:r>
        <w:rPr>
          <w:rFonts w:hint="eastAsia" w:ascii="仿宋" w:hAnsi="仿宋" w:eastAsia="仿宋" w:cs="宋体"/>
          <w:color w:val="auto"/>
          <w:sz w:val="21"/>
          <w:szCs w:val="21"/>
        </w:rPr>
        <w:t>提供在“信用中国”网站(www.creditchina.gov.cn)</w:t>
      </w:r>
      <w:r>
        <w:rPr>
          <w:rFonts w:hint="eastAsia" w:ascii="仿宋" w:hAnsi="仿宋" w:eastAsia="仿宋" w:cs="宋体"/>
          <w:color w:val="auto"/>
          <w:sz w:val="21"/>
          <w:szCs w:val="21"/>
          <w:lang w:val="en-US" w:eastAsia="zh-CN"/>
        </w:rPr>
        <w:t>及</w:t>
      </w:r>
      <w:r>
        <w:rPr>
          <w:rFonts w:hint="eastAsia" w:ascii="仿宋" w:hAnsi="仿宋" w:eastAsia="仿宋" w:cs="宋体"/>
          <w:color w:val="auto"/>
          <w:sz w:val="21"/>
          <w:szCs w:val="21"/>
        </w:rPr>
        <w:t>中国政府采购网(www.ccgp.gov.cn)等渠道未被列入失信被执行人、重大税收违法案件当事人名单、政府采购严重违法失信行为记录名单的证明，证明材料需提供网站截图并盖公章。</w:t>
      </w:r>
    </w:p>
    <w:p>
      <w:pPr>
        <w:keepNext w:val="0"/>
        <w:keepLines w:val="0"/>
        <w:pageBreakBefore w:val="0"/>
        <w:widowControl w:val="0"/>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b/>
          <w:bCs/>
          <w:color w:val="auto"/>
          <w:sz w:val="21"/>
          <w:szCs w:val="21"/>
        </w:rPr>
      </w:pPr>
      <w:r>
        <w:rPr>
          <w:rFonts w:hint="eastAsia" w:ascii="仿宋" w:hAnsi="仿宋" w:eastAsia="仿宋" w:cs="宋体"/>
          <w:b/>
          <w:bCs/>
          <w:color w:val="auto"/>
          <w:sz w:val="21"/>
          <w:szCs w:val="21"/>
        </w:rPr>
        <w:t>五、报价要求</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仿宋" w:hAnsi="仿宋" w:eastAsia="仿宋" w:cs="宋体"/>
          <w:color w:val="auto"/>
          <w:sz w:val="21"/>
          <w:szCs w:val="21"/>
          <w:lang w:val="en-US" w:eastAsia="zh-CN"/>
        </w:rPr>
      </w:pPr>
      <w:r>
        <w:rPr>
          <w:rFonts w:hint="eastAsia" w:ascii="仿宋" w:hAnsi="仿宋" w:eastAsia="仿宋" w:cs="宋体"/>
          <w:color w:val="auto"/>
          <w:sz w:val="21"/>
          <w:szCs w:val="21"/>
        </w:rPr>
        <w:t>（一）预算控制价：</w:t>
      </w:r>
      <w:bookmarkStart w:id="7" w:name="OLE_LINK6"/>
      <w:r>
        <w:rPr>
          <w:rFonts w:hint="eastAsia" w:ascii="仿宋" w:hAnsi="仿宋" w:eastAsia="仿宋" w:cs="宋体"/>
          <w:color w:val="auto"/>
          <w:sz w:val="21"/>
          <w:szCs w:val="21"/>
          <w:lang w:val="en-US" w:eastAsia="zh-CN"/>
        </w:rPr>
        <w:t>叁拾肆万贰仟元</w:t>
      </w:r>
      <w:r>
        <w:rPr>
          <w:rFonts w:hint="eastAsia" w:ascii="仿宋" w:hAnsi="仿宋" w:eastAsia="仿宋" w:cs="宋体"/>
          <w:color w:val="auto"/>
          <w:sz w:val="21"/>
          <w:szCs w:val="21"/>
        </w:rPr>
        <w:t>整（￥</w:t>
      </w:r>
      <w:r>
        <w:rPr>
          <w:rFonts w:hint="eastAsia" w:ascii="仿宋" w:hAnsi="仿宋" w:eastAsia="仿宋" w:cs="宋体"/>
          <w:color w:val="auto"/>
          <w:sz w:val="21"/>
          <w:szCs w:val="21"/>
          <w:lang w:eastAsia="zh-CN"/>
        </w:rPr>
        <w:t>：</w:t>
      </w:r>
      <w:r>
        <w:rPr>
          <w:rFonts w:hint="eastAsia" w:ascii="仿宋" w:hAnsi="仿宋" w:eastAsia="仿宋" w:cs="宋体"/>
          <w:color w:val="auto"/>
          <w:sz w:val="21"/>
          <w:szCs w:val="21"/>
          <w:lang w:val="en-US" w:eastAsia="zh-CN"/>
        </w:rPr>
        <w:t>34.2万</w:t>
      </w:r>
      <w:r>
        <w:rPr>
          <w:rFonts w:hint="eastAsia" w:ascii="仿宋" w:hAnsi="仿宋" w:eastAsia="仿宋" w:cs="宋体"/>
          <w:color w:val="auto"/>
          <w:sz w:val="21"/>
          <w:szCs w:val="21"/>
        </w:rPr>
        <w:t>元）</w:t>
      </w:r>
      <w:bookmarkEnd w:id="7"/>
      <w:r>
        <w:rPr>
          <w:rFonts w:hint="eastAsia" w:ascii="仿宋" w:hAnsi="仿宋" w:eastAsia="仿宋" w:cs="宋体"/>
          <w:color w:val="auto"/>
          <w:sz w:val="21"/>
          <w:szCs w:val="21"/>
          <w:lang w:eastAsia="zh-CN"/>
        </w:rPr>
        <w:t>，</w:t>
      </w:r>
      <w:r>
        <w:rPr>
          <w:rFonts w:hint="eastAsia" w:ascii="仿宋" w:hAnsi="仿宋" w:eastAsia="仿宋" w:cs="宋体"/>
          <w:color w:val="auto"/>
          <w:sz w:val="21"/>
          <w:szCs w:val="21"/>
        </w:rPr>
        <w:t>报价不得超过预算控制价；</w:t>
      </w:r>
      <w:r>
        <w:rPr>
          <w:rFonts w:hint="eastAsia" w:ascii="仿宋" w:hAnsi="仿宋" w:eastAsia="仿宋" w:cs="宋体"/>
          <w:color w:val="auto"/>
          <w:sz w:val="21"/>
          <w:szCs w:val="21"/>
          <w:lang w:val="en-US" w:eastAsia="zh-CN"/>
        </w:rPr>
        <w:t>如有配套使用耗材，请一并报价。</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仿宋" w:hAnsi="仿宋" w:eastAsia="仿宋" w:cs="宋体"/>
          <w:color w:val="auto"/>
          <w:sz w:val="21"/>
          <w:szCs w:val="21"/>
          <w:lang w:val="en-US" w:eastAsia="zh-CN"/>
        </w:rPr>
      </w:pPr>
      <w:r>
        <w:rPr>
          <w:rFonts w:hint="eastAsia" w:ascii="仿宋" w:hAnsi="仿宋" w:eastAsia="仿宋" w:cs="宋体"/>
          <w:color w:val="auto"/>
          <w:sz w:val="21"/>
          <w:szCs w:val="21"/>
        </w:rPr>
        <w:t>（二）所提供的证书必须合法有效；</w:t>
      </w:r>
      <w:r>
        <w:rPr>
          <w:rFonts w:hint="eastAsia" w:ascii="仿宋" w:hAnsi="仿宋" w:eastAsia="仿宋" w:cs="宋体"/>
          <w:color w:val="auto"/>
          <w:sz w:val="21"/>
          <w:szCs w:val="21"/>
          <w:lang w:val="en-US" w:eastAsia="zh-CN"/>
        </w:rPr>
        <w:t>文字、图表清晰。（必须提供产品技术参数及白皮书）</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（三）须提供技术规格偏离表，如存在负偏离</w:t>
      </w:r>
      <w:r>
        <w:rPr>
          <w:rFonts w:hint="eastAsia" w:ascii="仿宋" w:hAnsi="仿宋" w:eastAsia="仿宋" w:cs="宋体"/>
          <w:color w:val="auto"/>
          <w:sz w:val="21"/>
          <w:szCs w:val="21"/>
          <w:lang w:val="en-US" w:eastAsia="zh-CN"/>
        </w:rPr>
        <w:t>请标注。（标注“★”的条款或要求系指实质性条款或实质性要求，必须满足，如存在负偏离将导致响应被否决。）</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（四）超出规定评标、询价会议时间，不再接收报价文件；</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（五）报价文件必须密封；</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（六）所有纸质文件正本必须逐页盖章；</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（七）所有文件一式柒份（一正陆副）；</w:t>
      </w:r>
    </w:p>
    <w:p>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color w:val="auto"/>
          <w:sz w:val="21"/>
          <w:szCs w:val="21"/>
        </w:rPr>
      </w:pPr>
      <w:r>
        <w:rPr>
          <w:rFonts w:hint="eastAsia" w:ascii="仿宋" w:hAnsi="仿宋" w:eastAsia="仿宋" w:cs="宋体"/>
          <w:color w:val="auto"/>
          <w:sz w:val="21"/>
          <w:szCs w:val="21"/>
        </w:rPr>
        <w:t>提交的报价文件如不符合一至五项要求则取消参询资格。</w:t>
      </w:r>
    </w:p>
    <w:p>
      <w:pPr>
        <w:keepNext w:val="0"/>
        <w:keepLines w:val="0"/>
        <w:pageBreakBefore w:val="0"/>
        <w:widowControl w:val="0"/>
        <w:kinsoku/>
        <w:wordWrap/>
        <w:overflowPunct/>
        <w:topLinePunct w:val="0"/>
        <w:autoSpaceDE/>
        <w:autoSpaceDN/>
        <w:bidi w:val="0"/>
        <w:adjustRightInd w:val="0"/>
        <w:snapToGrid w:val="0"/>
        <w:spacing w:line="280" w:lineRule="exact"/>
        <w:ind w:firstLine="422" w:firstLineChars="200"/>
        <w:textAlignment w:val="auto"/>
        <w:rPr>
          <w:rFonts w:hint="eastAsia" w:ascii="仿宋" w:hAnsi="仿宋" w:eastAsia="仿宋" w:cs="宋体"/>
          <w:b/>
          <w:bCs/>
          <w:color w:val="auto"/>
          <w:sz w:val="21"/>
          <w:szCs w:val="21"/>
        </w:rPr>
      </w:pPr>
      <w:r>
        <w:rPr>
          <w:rFonts w:hint="eastAsia" w:ascii="仿宋" w:hAnsi="仿宋" w:eastAsia="仿宋" w:cs="宋体"/>
          <w:b/>
          <w:bCs/>
          <w:color w:val="auto"/>
          <w:sz w:val="21"/>
          <w:szCs w:val="21"/>
        </w:rPr>
        <w:t>六、询价评审标准</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（一）综合报价；</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（二）服务承诺</w:t>
      </w:r>
      <w:r>
        <w:rPr>
          <w:rFonts w:hint="eastAsia" w:ascii="仿宋" w:hAnsi="仿宋" w:eastAsia="仿宋" w:cs="宋体"/>
          <w:color w:val="auto"/>
          <w:sz w:val="21"/>
          <w:szCs w:val="21"/>
          <w:lang w:eastAsia="zh-CN"/>
        </w:rPr>
        <w:t>、</w:t>
      </w:r>
      <w:r>
        <w:rPr>
          <w:rFonts w:hint="eastAsia" w:ascii="仿宋" w:hAnsi="仿宋" w:eastAsia="仿宋" w:cs="宋体"/>
          <w:color w:val="auto"/>
          <w:sz w:val="21"/>
          <w:szCs w:val="21"/>
          <w:lang w:val="en-US" w:eastAsia="zh-CN"/>
        </w:rPr>
        <w:t>维修完成时间</w:t>
      </w:r>
      <w:r>
        <w:rPr>
          <w:rFonts w:hint="eastAsia" w:ascii="仿宋" w:hAnsi="仿宋" w:eastAsia="仿宋" w:cs="宋体"/>
          <w:color w:val="auto"/>
          <w:sz w:val="21"/>
          <w:szCs w:val="21"/>
        </w:rPr>
        <w:t>；</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（三）综合资质和经营能力；</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（四</w:t>
      </w:r>
      <w:r>
        <w:rPr>
          <w:rFonts w:hint="eastAsia" w:ascii="仿宋" w:hAnsi="仿宋" w:eastAsia="仿宋" w:cs="宋体"/>
          <w:color w:val="auto"/>
          <w:sz w:val="21"/>
          <w:szCs w:val="21"/>
          <w:lang w:eastAsia="zh-CN"/>
        </w:rPr>
        <w:t>）</w:t>
      </w:r>
      <w:r>
        <w:rPr>
          <w:rFonts w:hint="eastAsia" w:ascii="仿宋" w:hAnsi="仿宋" w:eastAsia="仿宋" w:cs="宋体"/>
          <w:color w:val="auto"/>
          <w:sz w:val="21"/>
          <w:szCs w:val="21"/>
          <w:lang w:val="en-US" w:eastAsia="zh-CN"/>
        </w:rPr>
        <w:t>销售</w:t>
      </w:r>
      <w:r>
        <w:rPr>
          <w:rFonts w:hint="eastAsia" w:ascii="仿宋" w:hAnsi="仿宋" w:eastAsia="仿宋" w:cs="宋体"/>
          <w:color w:val="auto"/>
          <w:sz w:val="21"/>
          <w:szCs w:val="21"/>
        </w:rPr>
        <w:t>业绩；</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default" w:ascii="仿宋" w:hAnsi="仿宋" w:eastAsia="仿宋" w:cs="宋体"/>
          <w:color w:val="auto"/>
          <w:sz w:val="21"/>
          <w:szCs w:val="21"/>
          <w:lang w:val="en-US" w:eastAsia="zh-CN"/>
        </w:rPr>
      </w:pPr>
      <w:r>
        <w:rPr>
          <w:rFonts w:hint="eastAsia" w:ascii="仿宋" w:hAnsi="仿宋" w:eastAsia="仿宋" w:cs="宋体"/>
          <w:color w:val="auto"/>
          <w:sz w:val="21"/>
          <w:szCs w:val="21"/>
        </w:rPr>
        <w:t>（</w:t>
      </w:r>
      <w:r>
        <w:rPr>
          <w:rFonts w:hint="eastAsia" w:ascii="仿宋" w:hAnsi="仿宋" w:eastAsia="仿宋" w:cs="宋体"/>
          <w:color w:val="auto"/>
          <w:sz w:val="21"/>
          <w:szCs w:val="21"/>
          <w:lang w:val="en-US" w:eastAsia="zh-CN"/>
        </w:rPr>
        <w:t>五</w:t>
      </w:r>
      <w:r>
        <w:rPr>
          <w:rFonts w:hint="eastAsia" w:ascii="仿宋" w:hAnsi="仿宋" w:eastAsia="仿宋" w:cs="宋体"/>
          <w:color w:val="auto"/>
          <w:sz w:val="21"/>
          <w:szCs w:val="21"/>
        </w:rPr>
        <w:t>）</w:t>
      </w:r>
      <w:r>
        <w:rPr>
          <w:rFonts w:hint="eastAsia" w:ascii="仿宋" w:hAnsi="仿宋" w:eastAsia="仿宋" w:cs="宋体"/>
          <w:color w:val="auto"/>
          <w:sz w:val="21"/>
          <w:szCs w:val="21"/>
          <w:lang w:val="en-US" w:eastAsia="zh-CN"/>
        </w:rPr>
        <w:t>产品质保期</w:t>
      </w:r>
      <w:r>
        <w:rPr>
          <w:rFonts w:hint="eastAsia" w:ascii="仿宋" w:hAnsi="仿宋" w:eastAsia="仿宋" w:cs="宋体"/>
          <w:color w:val="auto"/>
          <w:sz w:val="21"/>
          <w:szCs w:val="21"/>
        </w:rPr>
        <w:t>；</w:t>
      </w:r>
      <w:r>
        <w:rPr>
          <w:rFonts w:hint="eastAsia" w:ascii="仿宋" w:hAnsi="仿宋" w:eastAsia="仿宋" w:cs="宋体"/>
          <w:color w:val="auto"/>
          <w:sz w:val="21"/>
          <w:szCs w:val="21"/>
          <w:lang w:val="en-US" w:eastAsia="zh-CN"/>
        </w:rPr>
        <w:t>质保期≥3年</w:t>
      </w:r>
      <w:bookmarkStart w:id="17" w:name="_GoBack"/>
      <w:bookmarkEnd w:id="17"/>
    </w:p>
    <w:p>
      <w:pPr>
        <w:keepNext w:val="0"/>
        <w:keepLines w:val="0"/>
        <w:pageBreakBefore w:val="0"/>
        <w:widowControl w:val="0"/>
        <w:kinsoku/>
        <w:wordWrap/>
        <w:overflowPunct/>
        <w:topLinePunct w:val="0"/>
        <w:autoSpaceDE/>
        <w:autoSpaceDN/>
        <w:bidi w:val="0"/>
        <w:adjustRightInd w:val="0"/>
        <w:snapToGrid w:val="0"/>
        <w:spacing w:line="280" w:lineRule="exact"/>
        <w:ind w:firstLine="210" w:firstLineChars="1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对以上各项进行综合评审选定</w:t>
      </w:r>
      <w:r>
        <w:rPr>
          <w:rFonts w:hint="eastAsia" w:ascii="仿宋" w:hAnsi="仿宋" w:eastAsia="仿宋" w:cs="宋体"/>
          <w:color w:val="auto"/>
          <w:sz w:val="21"/>
          <w:szCs w:val="21"/>
          <w:lang w:val="en-US" w:eastAsia="zh-CN"/>
        </w:rPr>
        <w:t>中标产品</w:t>
      </w:r>
      <w:r>
        <w:rPr>
          <w:rFonts w:hint="eastAsia" w:ascii="仿宋" w:hAnsi="仿宋" w:eastAsia="仿宋" w:cs="宋体"/>
          <w:color w:val="auto"/>
          <w:sz w:val="21"/>
          <w:szCs w:val="21"/>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280" w:lineRule="exact"/>
        <w:ind w:left="188" w:leftChars="0" w:firstLine="442" w:firstLineChars="0"/>
        <w:textAlignment w:val="auto"/>
        <w:rPr>
          <w:rFonts w:hint="eastAsia" w:ascii="仿宋" w:hAnsi="仿宋" w:eastAsia="仿宋" w:cs="宋体"/>
          <w:b w:val="0"/>
          <w:bCs w:val="0"/>
          <w:color w:val="auto"/>
          <w:sz w:val="21"/>
          <w:szCs w:val="21"/>
          <w:lang w:val="en-US" w:eastAsia="zh-CN"/>
        </w:rPr>
      </w:pPr>
      <w:r>
        <w:rPr>
          <w:rFonts w:hint="eastAsia" w:ascii="仿宋" w:hAnsi="仿宋" w:eastAsia="仿宋" w:cs="宋体"/>
          <w:b/>
          <w:bCs/>
          <w:color w:val="auto"/>
          <w:sz w:val="21"/>
          <w:szCs w:val="21"/>
          <w:lang w:val="en-US" w:eastAsia="zh-CN"/>
        </w:rPr>
        <w:t>付款方式：</w:t>
      </w:r>
      <w:bookmarkStart w:id="8" w:name="OLE_LINK9"/>
      <w:r>
        <w:rPr>
          <w:rFonts w:hint="eastAsia" w:ascii="仿宋" w:hAnsi="仿宋" w:eastAsia="仿宋" w:cs="宋体"/>
          <w:b w:val="0"/>
          <w:bCs w:val="0"/>
          <w:color w:val="auto"/>
          <w:sz w:val="21"/>
          <w:szCs w:val="21"/>
          <w:lang w:val="en-US" w:eastAsia="zh-CN"/>
        </w:rPr>
        <w:t>验收合格后，乙方开具合法有效的增值税普通发票给甲方，甲方在验收合格后支付合同金额95%，剩余5%金额在质保期结束后支付（无息）。</w:t>
      </w:r>
    </w:p>
    <w:bookmarkEnd w:id="8"/>
    <w:p>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ind w:firstLine="632" w:firstLineChars="300"/>
        <w:textAlignment w:val="auto"/>
        <w:rPr>
          <w:rFonts w:hint="eastAsia" w:ascii="仿宋" w:hAnsi="仿宋" w:eastAsia="仿宋" w:cs="宋体"/>
          <w:b/>
          <w:bCs/>
          <w:color w:val="auto"/>
          <w:sz w:val="21"/>
          <w:szCs w:val="21"/>
        </w:rPr>
      </w:pPr>
      <w:r>
        <w:rPr>
          <w:rFonts w:hint="eastAsia" w:ascii="仿宋" w:hAnsi="仿宋" w:eastAsia="仿宋" w:cs="宋体"/>
          <w:b/>
          <w:bCs/>
          <w:color w:val="auto"/>
          <w:sz w:val="21"/>
          <w:szCs w:val="21"/>
          <w:lang w:val="en-US" w:eastAsia="zh-CN"/>
        </w:rPr>
        <w:t>八、</w:t>
      </w:r>
      <w:r>
        <w:rPr>
          <w:rFonts w:hint="eastAsia" w:ascii="仿宋" w:hAnsi="仿宋" w:eastAsia="仿宋" w:cs="宋体"/>
          <w:b/>
          <w:bCs/>
          <w:color w:val="auto"/>
          <w:sz w:val="21"/>
          <w:szCs w:val="21"/>
        </w:rPr>
        <w:t>询价时间及联系方式</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1.询价签到时间和地点：另行通知；</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rPr>
        <w:t>2.联系人：</w:t>
      </w:r>
      <w:r>
        <w:rPr>
          <w:rFonts w:hint="eastAsia" w:ascii="仿宋" w:hAnsi="仿宋" w:eastAsia="仿宋" w:cs="宋体"/>
          <w:color w:val="auto"/>
          <w:sz w:val="21"/>
          <w:szCs w:val="21"/>
          <w:lang w:val="en-US" w:eastAsia="zh-CN"/>
        </w:rPr>
        <w:t>凌</w:t>
      </w:r>
      <w:r>
        <w:rPr>
          <w:rFonts w:hint="eastAsia" w:ascii="仿宋" w:hAnsi="仿宋" w:eastAsia="仿宋" w:cs="宋体"/>
          <w:color w:val="auto"/>
          <w:sz w:val="21"/>
          <w:szCs w:val="21"/>
        </w:rPr>
        <w:t>老师，电话：</w:t>
      </w:r>
      <w:r>
        <w:rPr>
          <w:rFonts w:hint="eastAsia" w:ascii="仿宋" w:hAnsi="仿宋" w:eastAsia="仿宋" w:cs="宋体"/>
          <w:color w:val="auto"/>
          <w:sz w:val="21"/>
          <w:szCs w:val="21"/>
          <w:lang w:val="en-US" w:eastAsia="zh-CN"/>
        </w:rPr>
        <w:t>19142929117</w:t>
      </w:r>
      <w:r>
        <w:rPr>
          <w:rFonts w:hint="eastAsia" w:ascii="仿宋" w:hAnsi="仿宋" w:eastAsia="仿宋" w:cs="宋体"/>
          <w:color w:val="auto"/>
          <w:sz w:val="21"/>
          <w:szCs w:val="21"/>
        </w:rPr>
        <w:t>。</w:t>
      </w:r>
    </w:p>
    <w:p>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textAlignment w:val="auto"/>
        <w:rPr>
          <w:rFonts w:hint="eastAsia" w:ascii="仿宋" w:hAnsi="仿宋" w:eastAsia="仿宋" w:cs="宋体"/>
          <w:color w:val="auto"/>
          <w:sz w:val="21"/>
          <w:szCs w:val="21"/>
        </w:rPr>
      </w:pPr>
    </w:p>
    <w:p>
      <w:pPr>
        <w:keepNext w:val="0"/>
        <w:keepLines w:val="0"/>
        <w:pageBreakBefore w:val="0"/>
        <w:widowControl w:val="0"/>
        <w:kinsoku/>
        <w:wordWrap/>
        <w:overflowPunct/>
        <w:topLinePunct w:val="0"/>
        <w:autoSpaceDE/>
        <w:autoSpaceDN/>
        <w:bidi w:val="0"/>
        <w:adjustRightInd w:val="0"/>
        <w:snapToGrid w:val="0"/>
        <w:spacing w:line="280" w:lineRule="exact"/>
        <w:ind w:left="5800" w:leftChars="1862" w:hanging="1890" w:hangingChars="900"/>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桂林市中西医结合医院</w:t>
      </w:r>
      <w:r>
        <w:rPr>
          <w:rFonts w:hint="eastAsia" w:ascii="仿宋" w:hAnsi="仿宋" w:eastAsia="仿宋" w:cs="宋体"/>
          <w:color w:val="auto"/>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280" w:lineRule="exact"/>
        <w:ind w:left="5800" w:leftChars="2562" w:hanging="420" w:hangingChars="200"/>
        <w:textAlignment w:val="auto"/>
        <w:rPr>
          <w:rFonts w:hint="eastAsia" w:ascii="仿宋" w:hAnsi="仿宋" w:eastAsia="仿宋" w:cs="宋体"/>
          <w:color w:val="auto"/>
          <w:sz w:val="21"/>
          <w:szCs w:val="21"/>
        </w:rPr>
      </w:pPr>
      <w:r>
        <w:rPr>
          <w:rFonts w:hint="eastAsia" w:ascii="仿宋" w:hAnsi="仿宋" w:eastAsia="仿宋" w:cs="宋体"/>
          <w:color w:val="auto"/>
          <w:sz w:val="21"/>
          <w:szCs w:val="21"/>
          <w:lang w:val="en-US" w:eastAsia="zh-CN"/>
        </w:rPr>
        <w:t xml:space="preserve">   </w:t>
      </w:r>
      <w:r>
        <w:rPr>
          <w:rFonts w:hint="eastAsia" w:ascii="仿宋" w:hAnsi="仿宋" w:eastAsia="仿宋" w:cs="宋体"/>
          <w:color w:val="auto"/>
          <w:sz w:val="21"/>
          <w:szCs w:val="21"/>
        </w:rPr>
        <w:t>202</w:t>
      </w:r>
      <w:r>
        <w:rPr>
          <w:rFonts w:hint="eastAsia" w:ascii="仿宋" w:hAnsi="仿宋" w:eastAsia="仿宋" w:cs="宋体"/>
          <w:color w:val="auto"/>
          <w:sz w:val="21"/>
          <w:szCs w:val="21"/>
          <w:lang w:val="en-US" w:eastAsia="zh-CN"/>
        </w:rPr>
        <w:t>6</w:t>
      </w:r>
      <w:r>
        <w:rPr>
          <w:rFonts w:hint="eastAsia" w:ascii="仿宋" w:hAnsi="仿宋" w:eastAsia="仿宋" w:cs="宋体"/>
          <w:color w:val="auto"/>
          <w:sz w:val="21"/>
          <w:szCs w:val="21"/>
        </w:rPr>
        <w:t>年</w:t>
      </w:r>
      <w:r>
        <w:rPr>
          <w:rFonts w:hint="eastAsia" w:ascii="仿宋" w:hAnsi="仿宋" w:eastAsia="仿宋" w:cs="宋体"/>
          <w:color w:val="auto"/>
          <w:sz w:val="21"/>
          <w:szCs w:val="21"/>
          <w:lang w:val="en-US" w:eastAsia="zh-CN"/>
        </w:rPr>
        <w:t>10</w:t>
      </w:r>
      <w:r>
        <w:rPr>
          <w:rFonts w:hint="eastAsia" w:ascii="仿宋" w:hAnsi="仿宋" w:eastAsia="仿宋" w:cs="宋体"/>
          <w:color w:val="auto"/>
          <w:sz w:val="21"/>
          <w:szCs w:val="21"/>
        </w:rPr>
        <w:t>月</w:t>
      </w:r>
      <w:r>
        <w:rPr>
          <w:rFonts w:hint="eastAsia" w:ascii="仿宋" w:hAnsi="仿宋" w:eastAsia="仿宋" w:cs="宋体"/>
          <w:color w:val="auto"/>
          <w:sz w:val="21"/>
          <w:szCs w:val="21"/>
          <w:lang w:val="en-US" w:eastAsia="zh-CN"/>
        </w:rPr>
        <w:t>22</w:t>
      </w:r>
      <w:r>
        <w:rPr>
          <w:rFonts w:hint="eastAsia" w:ascii="仿宋" w:hAnsi="仿宋" w:eastAsia="仿宋" w:cs="宋体"/>
          <w:color w:val="auto"/>
          <w:sz w:val="21"/>
          <w:szCs w:val="21"/>
        </w:rPr>
        <w:t>日</w:t>
      </w:r>
      <w:bookmarkEnd w:id="0"/>
      <w:bookmarkEnd w:id="1"/>
      <w:bookmarkEnd w:id="2"/>
      <w:bookmarkEnd w:id="3"/>
    </w:p>
    <w:p>
      <w:pPr>
        <w:pStyle w:val="4"/>
        <w:spacing w:before="360" w:after="120"/>
        <w:rPr>
          <w:rFonts w:hint="eastAsia"/>
          <w:color w:val="auto"/>
          <w:lang w:eastAsia="zh-CN"/>
        </w:rPr>
        <w:sectPr>
          <w:headerReference r:id="rId3" w:type="default"/>
          <w:footerReference r:id="rId4" w:type="default"/>
          <w:pgSz w:w="11906" w:h="16839"/>
          <w:pgMar w:top="1118" w:right="1247" w:bottom="1020" w:left="1247" w:header="878" w:footer="873" w:gutter="0"/>
          <w:pgNumType w:start="1"/>
          <w:cols w:space="720" w:num="1"/>
        </w:sectPr>
      </w:pPr>
    </w:p>
    <w:bookmarkEnd w:id="4"/>
    <w:bookmarkEnd w:id="5"/>
    <w:p>
      <w:pPr>
        <w:spacing w:line="320" w:lineRule="exact"/>
        <w:jc w:val="center"/>
        <w:outlineLvl w:val="0"/>
        <w:rPr>
          <w:rFonts w:hint="eastAsia" w:ascii="宋体" w:hAnsi="宋体"/>
          <w:b/>
          <w:color w:val="auto"/>
          <w:sz w:val="32"/>
          <w:szCs w:val="32"/>
          <w:highlight w:val="none"/>
        </w:rPr>
      </w:pPr>
      <w:bookmarkStart w:id="9" w:name="_Toc195100152"/>
      <w:r>
        <w:rPr>
          <w:rFonts w:hint="eastAsia" w:ascii="宋体" w:hAnsi="宋体"/>
          <w:b/>
          <w:color w:val="auto"/>
          <w:sz w:val="32"/>
          <w:szCs w:val="32"/>
          <w:highlight w:val="none"/>
        </w:rPr>
        <w:t xml:space="preserve">第三章 </w:t>
      </w:r>
      <w:r>
        <w:rPr>
          <w:rFonts w:ascii="宋体" w:hAnsi="宋体"/>
          <w:b/>
          <w:color w:val="auto"/>
          <w:sz w:val="32"/>
          <w:szCs w:val="32"/>
          <w:highlight w:val="none"/>
        </w:rPr>
        <w:t xml:space="preserve"> </w:t>
      </w:r>
      <w:r>
        <w:rPr>
          <w:rFonts w:hint="eastAsia" w:ascii="宋体" w:hAnsi="宋体"/>
          <w:b/>
          <w:color w:val="auto"/>
          <w:sz w:val="32"/>
          <w:szCs w:val="32"/>
          <w:highlight w:val="none"/>
        </w:rPr>
        <w:t>项目需求</w:t>
      </w:r>
      <w:bookmarkEnd w:id="9"/>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b/>
          <w:bCs/>
          <w:color w:val="auto"/>
          <w:sz w:val="21"/>
          <w:szCs w:val="21"/>
          <w:highlight w:val="none"/>
        </w:rPr>
      </w:pPr>
      <w:r>
        <w:rPr>
          <w:rFonts w:hint="eastAsia" w:ascii="仿宋" w:hAnsi="仿宋" w:eastAsia="仿宋" w:cs="仿宋"/>
          <w:b/>
          <w:bCs/>
          <w:color w:val="auto"/>
          <w:highlight w:val="none"/>
        </w:rPr>
        <w:t>I</w:t>
      </w:r>
      <w:r>
        <w:rPr>
          <w:rFonts w:hint="eastAsia" w:ascii="仿宋" w:hAnsi="仿宋" w:eastAsia="仿宋" w:cs="仿宋"/>
          <w:b/>
          <w:bCs/>
          <w:color w:val="auto"/>
          <w:sz w:val="21"/>
          <w:szCs w:val="21"/>
          <w:highlight w:val="none"/>
        </w:rPr>
        <w:t>.说明</w:t>
      </w:r>
    </w:p>
    <w:p>
      <w:pPr>
        <w:pStyle w:val="2"/>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一、</w:t>
      </w:r>
      <w:r>
        <w:rPr>
          <w:rFonts w:hint="eastAsia" w:ascii="仿宋" w:hAnsi="仿宋" w:eastAsia="仿宋" w:cs="仿宋"/>
          <w:b/>
          <w:bCs/>
          <w:color w:val="auto"/>
          <w:sz w:val="21"/>
          <w:szCs w:val="21"/>
          <w:highlight w:val="none"/>
        </w:rPr>
        <w:t>实质性要求：“项目需求”中标注“</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rPr>
        <w:t>”项的条款及要求“必须提供”的条款均为实质性要求，若有任意一项负偏离的，按否决投标处理。“项目需求”的“技术要求”中标注 “</w:t>
      </w:r>
      <w:r>
        <w:rPr>
          <w:rFonts w:hint="eastAsia" w:ascii="仿宋" w:hAnsi="仿宋" w:eastAsia="仿宋" w:cs="仿宋"/>
          <w:b w:val="0"/>
          <w:bCs w:val="0"/>
          <w:color w:val="auto"/>
          <w:sz w:val="21"/>
          <w:szCs w:val="21"/>
          <w:highlight w:val="none"/>
        </w:rPr>
        <w:t>▲</w:t>
      </w:r>
      <w:r>
        <w:rPr>
          <w:rFonts w:hint="eastAsia" w:ascii="仿宋" w:hAnsi="仿宋" w:eastAsia="仿宋" w:cs="仿宋"/>
          <w:b/>
          <w:bCs/>
          <w:color w:val="auto"/>
          <w:sz w:val="21"/>
          <w:szCs w:val="21"/>
          <w:highlight w:val="none"/>
        </w:rPr>
        <w:t>”号的技术参数要求投标响应时存在负偏离，且超过允许存在负偏离的条款数时，按否决投标处理。标注“</w:t>
      </w:r>
      <w:r>
        <w:rPr>
          <w:rFonts w:hint="eastAsia" w:ascii="仿宋" w:hAnsi="仿宋" w:eastAsia="仿宋" w:cs="仿宋"/>
          <w:b w:val="0"/>
          <w:bCs w:val="0"/>
          <w:color w:val="auto"/>
          <w:sz w:val="21"/>
          <w:szCs w:val="21"/>
          <w:highlight w:val="none"/>
        </w:rPr>
        <w:t>▲</w:t>
      </w:r>
      <w:r>
        <w:rPr>
          <w:rFonts w:hint="eastAsia" w:ascii="仿宋" w:hAnsi="仿宋" w:eastAsia="仿宋" w:cs="仿宋"/>
          <w:b/>
          <w:bCs/>
          <w:color w:val="auto"/>
          <w:sz w:val="21"/>
          <w:szCs w:val="21"/>
          <w:highlight w:val="none"/>
        </w:rPr>
        <w:t>”号的技术要求允许发生负偏离的条款数累计最多为</w:t>
      </w:r>
      <w:r>
        <w:rPr>
          <w:rFonts w:hint="eastAsia" w:ascii="仿宋" w:hAnsi="仿宋" w:eastAsia="仿宋" w:cs="仿宋"/>
          <w:b/>
          <w:bCs/>
          <w:color w:val="auto"/>
          <w:sz w:val="21"/>
          <w:szCs w:val="21"/>
          <w:highlight w:val="none"/>
          <w:lang w:val="en-US" w:eastAsia="zh-CN"/>
        </w:rPr>
        <w:t>5</w:t>
      </w:r>
      <w:r>
        <w:rPr>
          <w:rFonts w:hint="eastAsia" w:ascii="仿宋" w:hAnsi="仿宋" w:eastAsia="仿宋" w:cs="仿宋"/>
          <w:b/>
          <w:bCs/>
          <w:color w:val="auto"/>
          <w:sz w:val="21"/>
          <w:szCs w:val="21"/>
          <w:highlight w:val="none"/>
        </w:rPr>
        <w:t>项，</w:t>
      </w:r>
      <w:r>
        <w:rPr>
          <w:rFonts w:hint="eastAsia" w:ascii="仿宋" w:hAnsi="仿宋" w:eastAsia="仿宋" w:cs="仿宋"/>
          <w:b/>
          <w:bCs/>
          <w:color w:val="auto"/>
          <w:sz w:val="21"/>
          <w:szCs w:val="21"/>
          <w:highlight w:val="none"/>
          <w:lang w:val="en-US" w:eastAsia="zh-CN"/>
        </w:rPr>
        <w:t>未</w:t>
      </w:r>
      <w:r>
        <w:rPr>
          <w:rFonts w:hint="eastAsia" w:ascii="仿宋" w:hAnsi="仿宋" w:eastAsia="仿宋" w:cs="仿宋"/>
          <w:b/>
          <w:bCs/>
          <w:color w:val="auto"/>
          <w:sz w:val="21"/>
          <w:szCs w:val="21"/>
          <w:highlight w:val="none"/>
        </w:rPr>
        <w:t>标注“</w:t>
      </w:r>
      <w:r>
        <w:rPr>
          <w:rFonts w:hint="eastAsia" w:ascii="仿宋" w:hAnsi="仿宋" w:eastAsia="仿宋" w:cs="仿宋"/>
          <w:b w:val="0"/>
          <w:bCs w:val="0"/>
          <w:color w:val="auto"/>
          <w:sz w:val="21"/>
          <w:szCs w:val="21"/>
          <w:highlight w:val="none"/>
        </w:rPr>
        <w:t>▲</w:t>
      </w:r>
      <w:r>
        <w:rPr>
          <w:rFonts w:hint="eastAsia" w:ascii="仿宋" w:hAnsi="仿宋" w:eastAsia="仿宋" w:cs="仿宋"/>
          <w:b/>
          <w:bCs/>
          <w:color w:val="auto"/>
          <w:sz w:val="21"/>
          <w:szCs w:val="21"/>
          <w:highlight w:val="none"/>
        </w:rPr>
        <w:t>”号的技术参数要求投标响应时存在负偏离数≥</w:t>
      </w:r>
      <w:r>
        <w:rPr>
          <w:rFonts w:hint="eastAsia" w:ascii="仿宋" w:hAnsi="仿宋" w:eastAsia="仿宋" w:cs="仿宋"/>
          <w:b/>
          <w:bCs/>
          <w:color w:val="auto"/>
          <w:sz w:val="21"/>
          <w:szCs w:val="21"/>
          <w:highlight w:val="none"/>
          <w:lang w:val="en-US" w:eastAsia="zh-CN"/>
        </w:rPr>
        <w:t>9</w:t>
      </w:r>
      <w:r>
        <w:rPr>
          <w:rFonts w:hint="eastAsia" w:ascii="仿宋" w:hAnsi="仿宋" w:eastAsia="仿宋" w:cs="仿宋"/>
          <w:b/>
          <w:bCs/>
          <w:color w:val="auto"/>
          <w:sz w:val="21"/>
          <w:szCs w:val="21"/>
          <w:highlight w:val="none"/>
        </w:rPr>
        <w:t>项时，按否决投标处理。</w:t>
      </w:r>
    </w:p>
    <w:p>
      <w:pPr>
        <w:pStyle w:val="11"/>
        <w:rPr>
          <w:rFonts w:hint="eastAsia" w:ascii="仿宋" w:hAnsi="仿宋" w:eastAsia="仿宋" w:cs="仿宋"/>
          <w:color w:val="auto"/>
          <w:sz w:val="21"/>
          <w:szCs w:val="21"/>
          <w:highlight w:val="none"/>
        </w:rPr>
      </w:pPr>
    </w:p>
    <w:p>
      <w:pPr>
        <w:pStyle w:val="2"/>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II.</w:t>
      </w:r>
      <w:r>
        <w:rPr>
          <w:rFonts w:hint="eastAsia" w:ascii="仿宋" w:hAnsi="仿宋" w:eastAsia="仿宋" w:cs="仿宋"/>
          <w:b/>
          <w:color w:val="auto"/>
          <w:sz w:val="21"/>
          <w:szCs w:val="21"/>
          <w:highlight w:val="none"/>
          <w:lang w:eastAsia="zh-Hans"/>
        </w:rPr>
        <w:t>招标</w:t>
      </w:r>
      <w:r>
        <w:rPr>
          <w:rFonts w:hint="eastAsia" w:ascii="仿宋" w:hAnsi="仿宋" w:eastAsia="仿宋" w:cs="仿宋"/>
          <w:b/>
          <w:color w:val="auto"/>
          <w:sz w:val="21"/>
          <w:szCs w:val="21"/>
          <w:highlight w:val="none"/>
        </w:rPr>
        <w:t>需求一览表</w:t>
      </w:r>
    </w:p>
    <w:tbl>
      <w:tblPr>
        <w:tblStyle w:val="14"/>
        <w:tblW w:w="5307"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073"/>
        <w:gridCol w:w="966"/>
        <w:gridCol w:w="6399"/>
        <w:gridCol w:w="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noWrap w:val="0"/>
            <w:vAlign w:val="center"/>
          </w:tcPr>
          <w:p>
            <w:pPr>
              <w:tabs>
                <w:tab w:val="left" w:pos="180"/>
                <w:tab w:val="left" w:pos="1620"/>
              </w:tabs>
              <w:adjustRightInd w:val="0"/>
              <w:snapToGrid w:val="0"/>
              <w:spacing w:line="360" w:lineRule="exact"/>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eastAsia="zh-Hans"/>
              </w:rPr>
              <w:t>一、招标内容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项号</w:t>
            </w:r>
          </w:p>
        </w:tc>
        <w:tc>
          <w:tcPr>
            <w:tcW w:w="534"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标的名称</w:t>
            </w:r>
          </w:p>
        </w:tc>
        <w:tc>
          <w:tcPr>
            <w:tcW w:w="481"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数量及单位</w:t>
            </w:r>
          </w:p>
        </w:tc>
        <w:tc>
          <w:tcPr>
            <w:tcW w:w="3187"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eastAsia="zh-Hans"/>
              </w:rPr>
              <w:t>技术要求</w:t>
            </w:r>
          </w:p>
        </w:tc>
        <w:tc>
          <w:tcPr>
            <w:tcW w:w="487"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单价最高限价（</w:t>
            </w:r>
            <w:r>
              <w:rPr>
                <w:rFonts w:hint="eastAsia" w:ascii="仿宋" w:hAnsi="仿宋" w:eastAsia="仿宋" w:cs="仿宋"/>
                <w:b/>
                <w:color w:val="auto"/>
                <w:sz w:val="21"/>
                <w:szCs w:val="21"/>
                <w:highlight w:val="none"/>
                <w:lang w:val="en-US" w:eastAsia="zh-CN"/>
              </w:rPr>
              <w:t>万</w:t>
            </w:r>
            <w:r>
              <w:rPr>
                <w:rFonts w:hint="eastAsia" w:ascii="仿宋" w:hAnsi="仿宋" w:eastAsia="仿宋" w:cs="仿宋"/>
                <w:b/>
                <w:color w:val="auto"/>
                <w:sz w:val="21"/>
                <w:szCs w:val="21"/>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3"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534"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i w:val="0"/>
                <w:iCs w:val="0"/>
                <w:color w:val="302010"/>
                <w:kern w:val="0"/>
                <w:sz w:val="20"/>
                <w:szCs w:val="20"/>
                <w:u w:val="none"/>
                <w:lang w:val="en-US" w:eastAsia="zh-CN" w:bidi="ar"/>
              </w:rPr>
              <w:t>手指手套训练仪(便携)</w:t>
            </w:r>
          </w:p>
        </w:tc>
        <w:tc>
          <w:tcPr>
            <w:tcW w:w="481"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10台</w:t>
            </w:r>
          </w:p>
        </w:tc>
        <w:tc>
          <w:tcPr>
            <w:tcW w:w="3187" w:type="pct"/>
            <w:noWrap w:val="0"/>
            <w:vAlign w:val="center"/>
          </w:tcPr>
          <w:p>
            <w:pPr>
              <w:pStyle w:val="35"/>
              <w:keepNext w:val="0"/>
              <w:keepLines w:val="0"/>
              <w:pageBreakBefore w:val="0"/>
              <w:widowControl w:val="0"/>
              <w:numPr>
                <w:ilvl w:val="0"/>
                <w:numId w:val="0"/>
              </w:numPr>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基于运动想象原理与“中枢外周中枢”闭环康复理论，通过健侧手带动患侧手，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控制软体外骨骼康复机器人运动，可激发患者主动意识，实现“感知-控制”双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向闭环神经刺激，重塑患者的神经通路，可以显著提升康复疗效。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1、≥六种训练模式，≥9档力度可调，满足康复全周期；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2、无线数据手套，智能双手分指镜像训练；动作捕捉零延迟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3、升级语音功能，助力神经康复</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4、智能小程序，在线同步数据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5、仿生气动手套，模拟专业康复手法，柔性结构设计；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6、大容量电池，充插两用，居家出行随心所欲。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7、具有FDA,CE证书；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充电电压：9V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主机尺寸：≥127×134×85(mm)（长×宽×高）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充电电流：2A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环境温度：5℃~40℃</w:t>
            </w:r>
          </w:p>
          <w:p>
            <w:pPr>
              <w:pStyle w:val="35"/>
              <w:keepNext w:val="0"/>
              <w:keepLines w:val="0"/>
              <w:pageBreakBefore w:val="0"/>
              <w:widowControl w:val="0"/>
              <w:numPr>
                <w:ilvl w:val="0"/>
                <w:numId w:val="0"/>
              </w:numPr>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0"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534"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Style w:val="26"/>
                <w:lang w:val="en-US" w:eastAsia="zh-CN" w:bidi="ar"/>
              </w:rPr>
              <w:t>CPM</w:t>
            </w:r>
            <w:r>
              <w:rPr>
                <w:rFonts w:hint="eastAsia" w:ascii="仿宋" w:hAnsi="仿宋" w:eastAsia="仿宋" w:cs="仿宋"/>
                <w:i w:val="0"/>
                <w:iCs w:val="0"/>
                <w:color w:val="302010"/>
                <w:kern w:val="0"/>
                <w:sz w:val="20"/>
                <w:szCs w:val="20"/>
                <w:u w:val="none"/>
                <w:lang w:val="en-US" w:eastAsia="zh-CN" w:bidi="ar"/>
              </w:rPr>
              <w:t>(腕关节、肩关节各3)</w:t>
            </w:r>
          </w:p>
        </w:tc>
        <w:tc>
          <w:tcPr>
            <w:tcW w:w="481"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6台</w:t>
            </w:r>
          </w:p>
        </w:tc>
        <w:tc>
          <w:tcPr>
            <w:tcW w:w="3187" w:type="pct"/>
            <w:noWrap w:val="0"/>
            <w:vAlign w:val="center"/>
          </w:tcPr>
          <w:p>
            <w:pPr>
              <w:pStyle w:val="35"/>
              <w:keepNext w:val="0"/>
              <w:keepLines w:val="0"/>
              <w:pageBreakBefore w:val="0"/>
              <w:widowControl w:val="0"/>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r>
              <w:rPr>
                <w:rStyle w:val="27"/>
                <w:rFonts w:hint="eastAsia" w:ascii="仿宋" w:hAnsi="仿宋" w:eastAsia="仿宋" w:cs="仿宋"/>
                <w:lang w:val="en-US" w:eastAsia="zh-CN" w:bidi="ar"/>
              </w:rPr>
              <w:t>肩关节参数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01. 微特电机驱动，机械结构设计、选材合理，精度高，运行平稳，噪音低，寿命长久。</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02. 微特电脑数码控制设计，并采用进口集成元器件，内设大容量进口CPU中央处理器,智能化软件编程，并具有超力矩过载保护等功能。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03. 大屏幕液晶背光显示，所有参数一览无遗，方便了医疗临床研究。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04. 大范围关节活动度，活动范围适应性增大，充分考虑了医疗治疗需要。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05. 采用最优化结构设计，关节角度速度变化分布合理。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06. 运动方式可在水平、垂直面方向转换，长度调节方式灵活，产品适用面广泛，可用于患者的左、右肩关节的前曲、后伸、上举位、外展、内收等各种活动方式，较好地实现了肩关节的被动康复运动。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07. 关节角度活动范围：0°—150°；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08. 关节角度变化速度范围：0.5°—3°/s；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09. 电源：220Vac±10%，50±1Hz；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 功耗：≤60W。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使用年限：≥8年</w:t>
            </w:r>
            <w:r>
              <w:rPr>
                <w:rFonts w:hint="eastAsia" w:ascii="仿宋" w:hAnsi="仿宋" w:eastAsia="仿宋" w:cs="仿宋"/>
                <w:i w:val="0"/>
                <w:iCs w:val="0"/>
                <w:color w:val="000000"/>
                <w:kern w:val="0"/>
                <w:sz w:val="20"/>
                <w:szCs w:val="20"/>
                <w:u w:val="none"/>
                <w:lang w:val="en-US" w:eastAsia="zh-CN" w:bidi="ar"/>
              </w:rPr>
              <w:br w:type="textWrapping"/>
            </w:r>
          </w:p>
          <w:p>
            <w:pPr>
              <w:pStyle w:val="35"/>
              <w:keepNext w:val="0"/>
              <w:keepLines w:val="0"/>
              <w:pageBreakBefore w:val="0"/>
              <w:widowControl w:val="0"/>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p>
          <w:p>
            <w:pPr>
              <w:pStyle w:val="35"/>
              <w:keepNext w:val="0"/>
              <w:keepLines w:val="0"/>
              <w:pageBreakBefore w:val="0"/>
              <w:widowControl w:val="0"/>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p>
          <w:p>
            <w:pPr>
              <w:pStyle w:val="35"/>
              <w:keepNext w:val="0"/>
              <w:keepLines w:val="0"/>
              <w:pageBreakBefore w:val="0"/>
              <w:widowControl w:val="0"/>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r>
              <w:rPr>
                <w:rStyle w:val="27"/>
                <w:rFonts w:hint="eastAsia" w:ascii="仿宋" w:hAnsi="仿宋" w:eastAsia="仿宋" w:cs="仿宋"/>
                <w:lang w:val="en-US" w:eastAsia="zh-CN" w:bidi="ar"/>
              </w:rPr>
              <w:t>肘关节参数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01. 微特电机驱动，机械结构设计、选材合理，精度高，运行平稳，噪音低，寿命长久。</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02. 微特电脑数码控制设计，并采用进口集成元器件，内设大容量进口CPU中央处理器,智能化软件编程，并具有超力矩过载保护等功能。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03. LCD液晶显示，所有参数一览无遗，方便了医疗临床研究。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04. 同一机器可以使用于患者的肘关节，活动范围适应性增大，在一般适用于成人的同时，也适用于一般儿童。充分考虑了医疗治疗需要。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05. 肘关节运动转换方便，长度调节方式灵活，产品适用面广泛，可用于患者的左、右肘关节的被动运动。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06. 采用最优化结构设计，关节角度速度变化分布合理。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07. 关节角度活动范围：0°—125°；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08. 关节角度变化速度范围：0.5°—3°/s；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09. 电源：220Vac±10%，50Hz；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 功耗：≤60W。</w:t>
            </w:r>
          </w:p>
          <w:p>
            <w:pPr>
              <w:pStyle w:val="35"/>
              <w:keepNext w:val="0"/>
              <w:keepLines w:val="0"/>
              <w:pageBreakBefore w:val="0"/>
              <w:widowControl w:val="0"/>
              <w:kinsoku/>
              <w:wordWrap/>
              <w:overflowPunct/>
              <w:topLinePunct w:val="0"/>
              <w:autoSpaceDE w:val="0"/>
              <w:autoSpaceDN w:val="0"/>
              <w:bidi w:val="0"/>
              <w:adjustRightInd w:val="0"/>
              <w:snapToGrid/>
              <w:spacing w:line="380" w:lineRule="exact"/>
              <w:ind w:left="0" w:leftChars="0" w:firstLine="0" w:firstLineChars="0"/>
              <w:jc w:val="left"/>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使用年限：≥8年</w:t>
            </w:r>
          </w:p>
        </w:tc>
        <w:tc>
          <w:tcPr>
            <w:tcW w:w="487"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b w:val="0"/>
                <w:bCs/>
                <w:color w:val="auto"/>
                <w:sz w:val="21"/>
                <w:szCs w:val="21"/>
                <w:highlight w:val="none"/>
                <w:lang w:val="en-US"/>
              </w:rPr>
            </w:pPr>
            <w:r>
              <w:rPr>
                <w:rFonts w:hint="eastAsia" w:ascii="仿宋" w:hAnsi="仿宋" w:eastAsia="仿宋" w:cs="仿宋"/>
                <w:b w:val="0"/>
                <w:bCs/>
                <w:color w:val="auto"/>
                <w:sz w:val="21"/>
                <w:szCs w:val="21"/>
                <w:highlight w:val="no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534"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Style w:val="26"/>
                <w:lang w:val="en-US" w:eastAsia="zh-CN" w:bidi="ar"/>
              </w:rPr>
              <w:t>下肢</w:t>
            </w:r>
            <w:r>
              <w:rPr>
                <w:rStyle w:val="28"/>
                <w:lang w:val="en-US" w:eastAsia="zh-CN" w:bidi="ar"/>
              </w:rPr>
              <w:t>CPM</w:t>
            </w:r>
          </w:p>
        </w:tc>
        <w:tc>
          <w:tcPr>
            <w:tcW w:w="481"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1台</w:t>
            </w:r>
          </w:p>
        </w:tc>
        <w:tc>
          <w:tcPr>
            <w:tcW w:w="3187" w:type="pct"/>
            <w:noWrap w:val="0"/>
            <w:vAlign w:val="center"/>
          </w:tcPr>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1.大容量CPU全微电脑智能设计，具有中文/英文双路显示和控制版本（可带全功能手控器）。</w:t>
            </w:r>
            <w:r>
              <w:rPr>
                <w:rFonts w:hint="eastAsia" w:ascii="仿宋" w:hAnsi="仿宋" w:eastAsia="仿宋" w:cs="仿宋"/>
                <w:lang w:val="en-US" w:eastAsia="zh-CN"/>
              </w:rPr>
              <w:br w:type="textWrapping"/>
            </w:r>
            <w:r>
              <w:rPr>
                <w:rFonts w:hint="eastAsia" w:ascii="仿宋" w:hAnsi="仿宋" w:eastAsia="仿宋" w:cs="仿宋"/>
                <w:lang w:val="en-US" w:eastAsia="zh-CN"/>
              </w:rPr>
              <w:t>2.具有全程长度和膝关节角度控制精密方式，全程运行角度控制精确。</w:t>
            </w:r>
            <w:r>
              <w:rPr>
                <w:rFonts w:hint="eastAsia" w:ascii="仿宋" w:hAnsi="仿宋" w:eastAsia="仿宋" w:cs="仿宋"/>
                <w:lang w:val="en-US" w:eastAsia="zh-CN"/>
              </w:rPr>
              <w:br w:type="textWrapping"/>
            </w:r>
            <w:r>
              <w:rPr>
                <w:rFonts w:hint="eastAsia" w:ascii="仿宋" w:hAnsi="仿宋" w:eastAsia="仿宋" w:cs="仿宋"/>
                <w:lang w:val="en-US" w:eastAsia="zh-CN"/>
              </w:rPr>
              <w:t>3.具有运行角度、速度自动增加模式功能，并具有“控制功率”设定功能，安全可靠。</w:t>
            </w:r>
            <w:r>
              <w:rPr>
                <w:rFonts w:hint="eastAsia" w:ascii="仿宋" w:hAnsi="仿宋" w:eastAsia="仿宋" w:cs="仿宋"/>
                <w:lang w:val="en-US" w:eastAsia="zh-CN"/>
              </w:rPr>
              <w:br w:type="textWrapping"/>
            </w:r>
            <w:r>
              <w:rPr>
                <w:rFonts w:hint="eastAsia" w:ascii="仿宋" w:hAnsi="仿宋" w:eastAsia="仿宋" w:cs="仿宋"/>
                <w:lang w:val="en-US" w:eastAsia="zh-CN"/>
              </w:rPr>
              <w:t>4.康复器输入功率为70VA。额定工作电压：～220V　50Hz</w:t>
            </w:r>
            <w:r>
              <w:rPr>
                <w:rFonts w:hint="eastAsia" w:ascii="仿宋" w:hAnsi="仿宋" w:eastAsia="仿宋" w:cs="仿宋"/>
                <w:lang w:val="en-US" w:eastAsia="zh-CN"/>
              </w:rPr>
              <w:br w:type="textWrapping"/>
            </w:r>
            <w:r>
              <w:rPr>
                <w:rFonts w:hint="eastAsia" w:ascii="仿宋" w:hAnsi="仿宋" w:eastAsia="仿宋" w:cs="仿宋"/>
                <w:lang w:val="en-US" w:eastAsia="zh-CN"/>
              </w:rPr>
              <w:t>5.角度范围及允差</w:t>
            </w:r>
            <w:r>
              <w:rPr>
                <w:rFonts w:hint="eastAsia" w:ascii="仿宋" w:hAnsi="仿宋" w:eastAsia="仿宋" w:cs="仿宋"/>
                <w:lang w:val="en-US" w:eastAsia="zh-CN"/>
              </w:rPr>
              <w:br w:type="textWrapping"/>
            </w:r>
            <w:r>
              <w:rPr>
                <w:rFonts w:hint="eastAsia" w:ascii="仿宋" w:hAnsi="仿宋" w:eastAsia="仿宋" w:cs="仿宋"/>
                <w:lang w:val="en-US" w:eastAsia="zh-CN"/>
              </w:rPr>
              <w:t>1）角度范围</w:t>
            </w:r>
            <w:r>
              <w:rPr>
                <w:rFonts w:hint="eastAsia" w:ascii="仿宋" w:hAnsi="仿宋" w:eastAsia="仿宋" w:cs="仿宋"/>
                <w:lang w:val="en-US" w:eastAsia="zh-CN"/>
              </w:rPr>
              <w:br w:type="textWrapping"/>
            </w:r>
            <w:r>
              <w:rPr>
                <w:rFonts w:hint="eastAsia" w:ascii="仿宋" w:hAnsi="仿宋" w:eastAsia="仿宋" w:cs="仿宋"/>
                <w:lang w:val="en-US" w:eastAsia="zh-CN"/>
              </w:rPr>
              <w:t>设备角度范围可调节，角度范围（α）为-5°～120°。</w:t>
            </w:r>
            <w:r>
              <w:rPr>
                <w:rFonts w:hint="eastAsia" w:ascii="仿宋" w:hAnsi="仿宋" w:eastAsia="仿宋" w:cs="仿宋"/>
                <w:lang w:val="en-US" w:eastAsia="zh-CN"/>
              </w:rPr>
              <w:br w:type="textWrapping"/>
            </w:r>
            <w:r>
              <w:rPr>
                <w:rFonts w:hint="eastAsia" w:ascii="仿宋" w:hAnsi="仿宋" w:eastAsia="仿宋" w:cs="仿宋"/>
                <w:lang w:val="en-US" w:eastAsia="zh-CN"/>
              </w:rPr>
              <w:t>2）角度范围允差</w:t>
            </w:r>
            <w:r>
              <w:rPr>
                <w:rFonts w:hint="eastAsia" w:ascii="仿宋" w:hAnsi="仿宋" w:eastAsia="仿宋" w:cs="仿宋"/>
                <w:lang w:val="en-US" w:eastAsia="zh-CN"/>
              </w:rPr>
              <w:br w:type="textWrapping"/>
            </w:r>
            <w:r>
              <w:rPr>
                <w:rFonts w:hint="eastAsia" w:ascii="仿宋" w:hAnsi="仿宋" w:eastAsia="仿宋" w:cs="仿宋"/>
                <w:lang w:val="en-US" w:eastAsia="zh-CN"/>
              </w:rPr>
              <w:t>在可调节的角度范围内，角度允差：±5°。</w:t>
            </w:r>
            <w:r>
              <w:rPr>
                <w:rFonts w:hint="eastAsia" w:ascii="仿宋" w:hAnsi="仿宋" w:eastAsia="仿宋" w:cs="仿宋"/>
                <w:lang w:val="en-US" w:eastAsia="zh-CN"/>
              </w:rPr>
              <w:br w:type="textWrapping"/>
            </w:r>
            <w:r>
              <w:rPr>
                <w:rFonts w:hint="eastAsia" w:ascii="仿宋" w:hAnsi="仿宋" w:eastAsia="仿宋" w:cs="仿宋"/>
                <w:lang w:val="en-US" w:eastAsia="zh-CN"/>
              </w:rPr>
              <w:t>6.角速度</w:t>
            </w:r>
            <w:r>
              <w:rPr>
                <w:rFonts w:hint="eastAsia" w:ascii="仿宋" w:hAnsi="仿宋" w:eastAsia="仿宋" w:cs="仿宋"/>
                <w:lang w:val="en-US" w:eastAsia="zh-CN"/>
              </w:rPr>
              <w:br w:type="textWrapping"/>
            </w:r>
            <w:r>
              <w:rPr>
                <w:rFonts w:hint="eastAsia" w:ascii="仿宋" w:hAnsi="仿宋" w:eastAsia="仿宋" w:cs="仿宋"/>
                <w:lang w:val="en-US" w:eastAsia="zh-CN"/>
              </w:rPr>
              <w:t>设备的角速度应可调节，CPM-F型设备最大角速度4.5°/s，允差：±15%。</w:t>
            </w:r>
            <w:r>
              <w:rPr>
                <w:rFonts w:hint="eastAsia" w:ascii="仿宋" w:hAnsi="仿宋" w:eastAsia="仿宋" w:cs="仿宋"/>
                <w:lang w:val="en-US" w:eastAsia="zh-CN"/>
              </w:rPr>
              <w:br w:type="textWrapping"/>
            </w:r>
            <w:r>
              <w:rPr>
                <w:rFonts w:hint="eastAsia" w:ascii="仿宋" w:hAnsi="仿宋" w:eastAsia="仿宋" w:cs="仿宋"/>
                <w:lang w:val="en-US" w:eastAsia="zh-CN"/>
              </w:rPr>
              <w:t>7.治疗时间</w:t>
            </w:r>
            <w:r>
              <w:rPr>
                <w:rFonts w:hint="eastAsia" w:ascii="仿宋" w:hAnsi="仿宋" w:eastAsia="仿宋" w:cs="仿宋"/>
                <w:lang w:val="en-US" w:eastAsia="zh-CN"/>
              </w:rPr>
              <w:br w:type="textWrapping"/>
            </w:r>
            <w:r>
              <w:rPr>
                <w:rFonts w:hint="eastAsia" w:ascii="仿宋" w:hAnsi="仿宋" w:eastAsia="仿宋" w:cs="仿宋"/>
                <w:lang w:val="en-US" w:eastAsia="zh-CN"/>
              </w:rPr>
              <w:t>产品有定时装置，设定范围在0～240min，步进值1min，其准确度误差应不超过±5s。</w:t>
            </w:r>
            <w:r>
              <w:rPr>
                <w:rFonts w:hint="eastAsia" w:ascii="仿宋" w:hAnsi="仿宋" w:eastAsia="仿宋" w:cs="仿宋"/>
                <w:lang w:val="en-US" w:eastAsia="zh-CN"/>
              </w:rPr>
              <w:br w:type="textWrapping"/>
            </w:r>
            <w:r>
              <w:rPr>
                <w:rFonts w:hint="eastAsia" w:ascii="仿宋" w:hAnsi="仿宋" w:eastAsia="仿宋" w:cs="仿宋"/>
                <w:lang w:val="en-US" w:eastAsia="zh-CN"/>
              </w:rPr>
              <w:t>8.结构要求</w:t>
            </w:r>
            <w:r>
              <w:rPr>
                <w:rFonts w:hint="eastAsia" w:ascii="仿宋" w:hAnsi="仿宋" w:eastAsia="仿宋" w:cs="仿宋"/>
                <w:lang w:val="en-US" w:eastAsia="zh-CN"/>
              </w:rPr>
              <w:br w:type="textWrapping"/>
            </w:r>
            <w:r>
              <w:rPr>
                <w:rFonts w:hint="eastAsia" w:ascii="仿宋" w:hAnsi="仿宋" w:eastAsia="仿宋" w:cs="仿宋"/>
                <w:lang w:val="en-US" w:eastAsia="zh-CN"/>
              </w:rPr>
              <w:t>1）手持操作器</w:t>
            </w:r>
            <w:r>
              <w:rPr>
                <w:rFonts w:hint="eastAsia" w:ascii="仿宋" w:hAnsi="仿宋" w:eastAsia="仿宋" w:cs="仿宋"/>
                <w:lang w:val="en-US" w:eastAsia="zh-CN"/>
              </w:rPr>
              <w:br w:type="textWrapping"/>
            </w:r>
            <w:r>
              <w:rPr>
                <w:rFonts w:hint="eastAsia" w:ascii="仿宋" w:hAnsi="仿宋" w:eastAsia="仿宋" w:cs="仿宋"/>
                <w:lang w:val="en-US" w:eastAsia="zh-CN"/>
              </w:rPr>
              <w:t>设备具有供使用者操作的手持操作器，手持操作器能控制设备的启动、停止，操作方便、可靠。</w:t>
            </w:r>
            <w:r>
              <w:rPr>
                <w:rFonts w:hint="eastAsia" w:ascii="仿宋" w:hAnsi="仿宋" w:eastAsia="仿宋" w:cs="仿宋"/>
                <w:lang w:val="en-US" w:eastAsia="zh-CN"/>
              </w:rPr>
              <w:br w:type="textWrapping"/>
            </w:r>
            <w:r>
              <w:rPr>
                <w:rFonts w:hint="eastAsia" w:ascii="仿宋" w:hAnsi="仿宋" w:eastAsia="仿宋" w:cs="仿宋"/>
                <w:lang w:val="en-US" w:eastAsia="zh-CN"/>
              </w:rPr>
              <w:t>2）固定肢体的支架</w:t>
            </w:r>
            <w:r>
              <w:rPr>
                <w:rFonts w:hint="eastAsia" w:ascii="仿宋" w:hAnsi="仿宋" w:eastAsia="仿宋" w:cs="仿宋"/>
                <w:lang w:val="en-US" w:eastAsia="zh-CN"/>
              </w:rPr>
              <w:br w:type="textWrapping"/>
            </w:r>
            <w:r>
              <w:rPr>
                <w:rFonts w:hint="eastAsia" w:ascii="仿宋" w:hAnsi="仿宋" w:eastAsia="仿宋" w:cs="仿宋"/>
                <w:lang w:val="en-US" w:eastAsia="zh-CN"/>
              </w:rPr>
              <w:t>固定肢体的支架长度可调节。</w:t>
            </w:r>
            <w:r>
              <w:rPr>
                <w:rFonts w:hint="eastAsia" w:ascii="仿宋" w:hAnsi="仿宋" w:eastAsia="仿宋" w:cs="仿宋"/>
                <w:lang w:val="en-US" w:eastAsia="zh-CN"/>
              </w:rPr>
              <w:br w:type="textWrapping"/>
            </w:r>
            <w:r>
              <w:rPr>
                <w:rFonts w:hint="eastAsia" w:ascii="仿宋" w:hAnsi="仿宋" w:eastAsia="仿宋" w:cs="仿宋"/>
                <w:lang w:val="en-US" w:eastAsia="zh-CN"/>
              </w:rPr>
              <w:t>设备大腿支架最大有效可调节长度为140mm，小腿支架最大有效使用长度为550mm。允差：±10％。</w:t>
            </w:r>
            <w:r>
              <w:rPr>
                <w:rFonts w:hint="eastAsia" w:ascii="仿宋" w:hAnsi="仿宋" w:eastAsia="仿宋" w:cs="仿宋"/>
                <w:lang w:val="en-US" w:eastAsia="zh-CN"/>
              </w:rPr>
              <w:br w:type="textWrapping"/>
            </w:r>
            <w:r>
              <w:rPr>
                <w:rFonts w:hint="eastAsia" w:ascii="仿宋" w:hAnsi="仿宋" w:eastAsia="仿宋" w:cs="仿宋"/>
                <w:lang w:val="en-US" w:eastAsia="zh-CN"/>
              </w:rPr>
              <w:t>9.意外断电</w:t>
            </w:r>
            <w:r>
              <w:rPr>
                <w:rFonts w:hint="eastAsia" w:ascii="仿宋" w:hAnsi="仿宋" w:eastAsia="仿宋" w:cs="仿宋"/>
                <w:lang w:val="en-US" w:eastAsia="zh-CN"/>
              </w:rPr>
              <w:br w:type="textWrapping"/>
            </w:r>
            <w:r>
              <w:rPr>
                <w:rFonts w:hint="eastAsia" w:ascii="仿宋" w:hAnsi="仿宋" w:eastAsia="仿宋" w:cs="仿宋"/>
                <w:lang w:val="en-US" w:eastAsia="zh-CN"/>
              </w:rPr>
              <w:t xml:space="preserve">  电源中断及恢复通电后，固定肢体的支架应保持在停止时的状态。</w:t>
            </w:r>
            <w:r>
              <w:rPr>
                <w:rFonts w:hint="eastAsia" w:ascii="仿宋" w:hAnsi="仿宋" w:eastAsia="仿宋" w:cs="仿宋"/>
                <w:lang w:val="en-US" w:eastAsia="zh-CN"/>
              </w:rPr>
              <w:br w:type="textWrapping"/>
            </w:r>
            <w:r>
              <w:rPr>
                <w:rFonts w:hint="eastAsia" w:ascii="仿宋" w:hAnsi="仿宋" w:eastAsia="仿宋" w:cs="仿宋"/>
                <w:lang w:val="en-US" w:eastAsia="zh-CN"/>
              </w:rPr>
              <w:t>10.承重载荷</w:t>
            </w:r>
            <w:r>
              <w:rPr>
                <w:rFonts w:hint="eastAsia" w:ascii="仿宋" w:hAnsi="仿宋" w:eastAsia="仿宋" w:cs="仿宋"/>
                <w:lang w:val="en-US" w:eastAsia="zh-CN"/>
              </w:rPr>
              <w:br w:type="textWrapping"/>
            </w:r>
            <w:r>
              <w:rPr>
                <w:rFonts w:hint="eastAsia" w:ascii="仿宋" w:hAnsi="仿宋" w:eastAsia="仿宋" w:cs="仿宋"/>
                <w:lang w:val="en-US" w:eastAsia="zh-CN"/>
              </w:rPr>
              <w:t>设备的额定载荷大于200N，在额定荷载内，设备应能正常运行。</w:t>
            </w:r>
            <w:r>
              <w:rPr>
                <w:rFonts w:hint="eastAsia" w:ascii="仿宋" w:hAnsi="仿宋" w:eastAsia="仿宋" w:cs="仿宋"/>
                <w:lang w:val="en-US" w:eastAsia="zh-CN"/>
              </w:rPr>
              <w:br w:type="textWrapping"/>
            </w:r>
            <w:r>
              <w:rPr>
                <w:rFonts w:hint="eastAsia" w:ascii="仿宋" w:hAnsi="仿宋" w:eastAsia="仿宋" w:cs="仿宋"/>
                <w:lang w:val="en-US" w:eastAsia="zh-CN"/>
              </w:rPr>
              <w:t>11.按键设计，运行更精准，定位更精确，采用更人性化的定时停止功能。</w:t>
            </w:r>
            <w:r>
              <w:rPr>
                <w:rFonts w:hint="eastAsia" w:ascii="仿宋" w:hAnsi="仿宋" w:eastAsia="仿宋" w:cs="仿宋"/>
                <w:lang w:val="en-US" w:eastAsia="zh-CN"/>
              </w:rPr>
              <w:br w:type="textWrapping"/>
            </w:r>
            <w:r>
              <w:rPr>
                <w:rFonts w:hint="eastAsia" w:ascii="仿宋" w:hAnsi="仿宋" w:eastAsia="仿宋" w:cs="仿宋"/>
                <w:lang w:val="en-US" w:eastAsia="zh-CN"/>
              </w:rPr>
              <w:t>12.复合型双层绑带，柔软舒适，便于清洗。</w:t>
            </w:r>
            <w:r>
              <w:rPr>
                <w:rFonts w:hint="eastAsia" w:ascii="仿宋" w:hAnsi="仿宋" w:eastAsia="仿宋" w:cs="仿宋"/>
                <w:lang w:val="en-US" w:eastAsia="zh-CN"/>
              </w:rPr>
              <w:br w:type="textWrapping"/>
            </w:r>
            <w:r>
              <w:rPr>
                <w:rFonts w:hint="eastAsia" w:ascii="仿宋" w:hAnsi="仿宋" w:eastAsia="仿宋" w:cs="仿宋"/>
                <w:lang w:val="en-US" w:eastAsia="zh-CN"/>
              </w:rPr>
              <w:t>13.机壳采用ABS注塑成型，主体结构为6061铝合金材质，无油漆部件，整体外观美观。</w:t>
            </w:r>
            <w:r>
              <w:rPr>
                <w:rFonts w:hint="eastAsia" w:ascii="仿宋" w:hAnsi="仿宋" w:eastAsia="仿宋" w:cs="仿宋"/>
                <w:lang w:val="en-US" w:eastAsia="zh-CN"/>
              </w:rPr>
              <w:br w:type="textWrapping"/>
            </w:r>
            <w:r>
              <w:rPr>
                <w:rFonts w:hint="eastAsia" w:ascii="仿宋" w:hAnsi="仿宋" w:eastAsia="仿宋" w:cs="仿宋"/>
                <w:lang w:val="en-US" w:eastAsia="zh-CN"/>
              </w:rPr>
              <w:t>14.产品纸箱尺寸：1050x430x320mm（误差±20mm）。</w:t>
            </w:r>
            <w:r>
              <w:rPr>
                <w:rFonts w:hint="eastAsia" w:ascii="仿宋" w:hAnsi="仿宋" w:eastAsia="仿宋" w:cs="仿宋"/>
                <w:lang w:val="en-US" w:eastAsia="zh-CN"/>
              </w:rPr>
              <w:br w:type="textWrapping"/>
            </w:r>
            <w:r>
              <w:rPr>
                <w:rFonts w:hint="eastAsia" w:ascii="仿宋" w:hAnsi="仿宋" w:eastAsia="仿宋" w:cs="仿宋"/>
                <w:lang w:val="en-US" w:eastAsia="zh-CN"/>
              </w:rPr>
              <w:t>15.产品重量：</w:t>
            </w:r>
            <w:r>
              <w:rPr>
                <w:rFonts w:hint="eastAsia" w:ascii="仿宋" w:hAnsi="仿宋" w:eastAsia="仿宋" w:cs="仿宋"/>
                <w:lang w:val="en-US" w:eastAsia="zh-CN"/>
              </w:rPr>
              <w:br w:type="textWrapping"/>
            </w:r>
            <w:r>
              <w:rPr>
                <w:rFonts w:hint="eastAsia" w:ascii="仿宋" w:hAnsi="仿宋" w:eastAsia="仿宋" w:cs="仿宋"/>
                <w:lang w:val="en-US" w:eastAsia="zh-CN"/>
              </w:rPr>
              <w:t>净重：11.5kg，允差：±1.5kg；毛重：14.0kg，允差：±1.5kg。</w:t>
            </w:r>
            <w:r>
              <w:rPr>
                <w:rFonts w:hint="eastAsia" w:ascii="仿宋" w:hAnsi="仿宋" w:eastAsia="仿宋" w:cs="仿宋"/>
                <w:lang w:val="en-US" w:eastAsia="zh-CN"/>
              </w:rPr>
              <w:br w:type="textWrapping"/>
            </w:r>
            <w:r>
              <w:rPr>
                <w:rFonts w:hint="eastAsia" w:ascii="仿宋" w:hAnsi="仿宋" w:eastAsia="仿宋" w:cs="仿宋"/>
                <w:lang w:val="en-US" w:eastAsia="zh-CN"/>
              </w:rPr>
              <w:t>16.供医疗机构、康复机构中具备相关专业知识的操作者使用，用于对患者肢体或关节进行被动康复训练，适合患者和医护人员共同操作和观察。</w:t>
            </w:r>
            <w:r>
              <w:rPr>
                <w:rFonts w:hint="eastAsia" w:ascii="仿宋" w:hAnsi="仿宋" w:eastAsia="仿宋" w:cs="仿宋"/>
                <w:lang w:val="en-US" w:eastAsia="zh-CN"/>
              </w:rPr>
              <w:br w:type="textWrapping"/>
            </w:r>
            <w:r>
              <w:rPr>
                <w:rFonts w:hint="eastAsia" w:ascii="仿宋" w:hAnsi="仿宋" w:eastAsia="仿宋" w:cs="仿宋"/>
                <w:lang w:val="en-US" w:eastAsia="zh-CN"/>
              </w:rPr>
              <w:t>17.采用紧密定制丝杠，噪音低，有效机械运动行程大于60厘米。</w:t>
            </w:r>
            <w:r>
              <w:rPr>
                <w:rFonts w:hint="eastAsia" w:ascii="仿宋" w:hAnsi="仿宋" w:eastAsia="仿宋" w:cs="仿宋"/>
                <w:lang w:val="en-US" w:eastAsia="zh-CN"/>
              </w:rPr>
              <w:br w:type="textWrapping"/>
            </w:r>
            <w:r>
              <w:rPr>
                <w:rFonts w:hint="eastAsia" w:ascii="仿宋" w:hAnsi="仿宋" w:eastAsia="仿宋" w:cs="仿宋"/>
                <w:lang w:val="en-US" w:eastAsia="zh-CN"/>
              </w:rPr>
              <w:t>18.适用于1.5-1.9米正常平均高度的成人使用。</w:t>
            </w:r>
          </w:p>
          <w:p>
            <w:pPr>
              <w:pStyle w:val="2"/>
              <w:keepNext w:val="0"/>
              <w:keepLines w:val="0"/>
              <w:pageBreakBefore w:val="0"/>
              <w:numPr>
                <w:ilvl w:val="0"/>
                <w:numId w:val="0"/>
              </w:numPr>
              <w:wordWrap/>
              <w:overflowPunct/>
              <w:topLinePunct w:val="0"/>
              <w:bidi w:val="0"/>
              <w:spacing w:line="380" w:lineRule="exact"/>
              <w:rPr>
                <w:rFonts w:hint="eastAsia" w:ascii="仿宋" w:hAnsi="仿宋" w:eastAsia="仿宋" w:cs="仿宋"/>
              </w:rPr>
            </w:pPr>
            <w:r>
              <w:rPr>
                <w:rFonts w:hint="eastAsia" w:ascii="仿宋" w:hAnsi="仿宋" w:eastAsia="仿宋" w:cs="仿宋"/>
                <w:b/>
                <w:bCs/>
                <w:i w:val="0"/>
                <w:iCs w:val="0"/>
                <w:color w:val="000000"/>
                <w:kern w:val="0"/>
                <w:sz w:val="20"/>
                <w:szCs w:val="20"/>
                <w:u w:val="none"/>
                <w:lang w:val="en-US" w:eastAsia="zh-CN" w:bidi="ar"/>
              </w:rPr>
              <w:t>19.使用年限：≥8年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rPr>
            </w:pPr>
            <w:r>
              <w:rPr>
                <w:rFonts w:hint="eastAsia" w:ascii="仿宋" w:hAnsi="仿宋" w:eastAsia="仿宋" w:cs="仿宋"/>
                <w:b w:val="0"/>
                <w:bCs/>
                <w:color w:val="auto"/>
                <w:sz w:val="21"/>
                <w:szCs w:val="21"/>
                <w:highlight w:val="no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403020"/>
                <w:kern w:val="0"/>
                <w:sz w:val="20"/>
                <w:szCs w:val="20"/>
                <w:u w:val="none"/>
                <w:lang w:val="en-US" w:eastAsia="zh-CN" w:bidi="ar"/>
              </w:rPr>
              <w:t>康复训练床(普通)</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2张</w:t>
            </w:r>
          </w:p>
        </w:tc>
        <w:tc>
          <w:tcPr>
            <w:tcW w:w="3187" w:type="pct"/>
            <w:noWrap w:val="0"/>
            <w:vAlign w:val="center"/>
          </w:tcPr>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结构型式：床面、床架、垫子</w:t>
            </w:r>
            <w:r>
              <w:rPr>
                <w:rFonts w:hint="eastAsia" w:ascii="仿宋" w:hAnsi="仿宋" w:eastAsia="仿宋" w:cs="仿宋"/>
                <w:lang w:val="en-US" w:eastAsia="zh-CN"/>
              </w:rPr>
              <w:br w:type="textWrapping"/>
            </w:r>
            <w:r>
              <w:rPr>
                <w:rFonts w:hint="eastAsia" w:ascii="仿宋" w:hAnsi="仿宋" w:eastAsia="仿宋" w:cs="仿宋"/>
                <w:lang w:val="en-US" w:eastAsia="zh-CN"/>
              </w:rPr>
              <w:t>材质：静电喷塑架、高回弹海绵、PU床面</w:t>
            </w:r>
            <w:r>
              <w:rPr>
                <w:rFonts w:hint="eastAsia" w:ascii="仿宋" w:hAnsi="仿宋" w:eastAsia="仿宋" w:cs="仿宋"/>
                <w:lang w:val="en-US" w:eastAsia="zh-CN"/>
              </w:rPr>
              <w:br w:type="textWrapping"/>
            </w:r>
            <w:r>
              <w:rPr>
                <w:rFonts w:hint="eastAsia" w:ascii="仿宋" w:hAnsi="仿宋" w:eastAsia="仿宋" w:cs="仿宋"/>
                <w:lang w:val="en-US" w:eastAsia="zh-CN"/>
              </w:rPr>
              <w:t>参考规格(cm)：≥190×122×48</w:t>
            </w:r>
            <w:r>
              <w:rPr>
                <w:rFonts w:hint="eastAsia" w:ascii="仿宋" w:hAnsi="仿宋" w:eastAsia="仿宋" w:cs="仿宋"/>
                <w:lang w:val="en-US" w:eastAsia="zh-CN"/>
              </w:rPr>
              <w:br w:type="textWrapping"/>
            </w:r>
            <w:r>
              <w:rPr>
                <w:rFonts w:hint="eastAsia" w:ascii="仿宋" w:hAnsi="仿宋" w:eastAsia="仿宋" w:cs="仿宋"/>
                <w:lang w:val="en-US" w:eastAsia="zh-CN"/>
              </w:rPr>
              <w:t>参考床面尺寸(长×宽)cm：≥190×122</w:t>
            </w:r>
            <w:r>
              <w:rPr>
                <w:rFonts w:hint="eastAsia" w:ascii="仿宋" w:hAnsi="仿宋" w:eastAsia="仿宋" w:cs="仿宋"/>
                <w:lang w:val="en-US" w:eastAsia="zh-CN"/>
              </w:rPr>
              <w:br w:type="textWrapping"/>
            </w:r>
            <w:r>
              <w:rPr>
                <w:rFonts w:hint="eastAsia" w:ascii="仿宋" w:hAnsi="仿宋" w:eastAsia="仿宋" w:cs="仿宋"/>
                <w:lang w:val="en-US" w:eastAsia="zh-CN"/>
              </w:rPr>
              <w:t>参考质量：≥53.0kg</w:t>
            </w:r>
            <w:r>
              <w:rPr>
                <w:rFonts w:hint="eastAsia" w:ascii="仿宋" w:hAnsi="仿宋" w:eastAsia="仿宋" w:cs="仿宋"/>
                <w:lang w:val="en-US" w:eastAsia="zh-CN"/>
              </w:rPr>
              <w:br w:type="textWrapping"/>
            </w:r>
            <w:r>
              <w:rPr>
                <w:rFonts w:hint="eastAsia" w:ascii="仿宋" w:hAnsi="仿宋" w:eastAsia="仿宋" w:cs="仿宋"/>
                <w:lang w:val="en-US" w:eastAsia="zh-CN"/>
              </w:rPr>
              <w:t>额定载荷：≥135.0kg</w:t>
            </w:r>
          </w:p>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b/>
                <w:bCs/>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Style w:val="26"/>
                <w:lang w:val="en-US" w:eastAsia="zh-CN" w:bidi="ar"/>
              </w:rPr>
              <w:t>OT</w:t>
            </w:r>
            <w:r>
              <w:rPr>
                <w:rStyle w:val="29"/>
                <w:lang w:val="en-US" w:eastAsia="zh-CN" w:bidi="ar"/>
              </w:rPr>
              <w:t>桌</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2张</w:t>
            </w:r>
          </w:p>
        </w:tc>
        <w:tc>
          <w:tcPr>
            <w:tcW w:w="3187" w:type="pct"/>
            <w:noWrap w:val="0"/>
            <w:vAlign w:val="center"/>
          </w:tcPr>
          <w:p>
            <w:pPr>
              <w:keepNext w:val="0"/>
              <w:keepLines w:val="0"/>
              <w:pageBreakBefore w:val="0"/>
              <w:widowControl/>
              <w:numPr>
                <w:ilvl w:val="0"/>
                <w:numId w:val="3"/>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结构型式：脚横杆、脚间挺杆、不锈钢内心</w:t>
            </w:r>
            <w:r>
              <w:rPr>
                <w:rFonts w:hint="eastAsia" w:ascii="仿宋" w:hAnsi="仿宋" w:eastAsia="仿宋" w:cs="仿宋"/>
                <w:lang w:val="en-US" w:eastAsia="zh-CN"/>
              </w:rPr>
              <w:br w:type="textWrapping"/>
            </w:r>
            <w:r>
              <w:rPr>
                <w:rFonts w:hint="eastAsia" w:ascii="仿宋" w:hAnsi="仿宋" w:eastAsia="仿宋" w:cs="仿宋"/>
                <w:lang w:val="en-US" w:eastAsia="zh-CN"/>
              </w:rPr>
              <w:t>2、升降支架、传动机构、桌面及框架、手柄</w:t>
            </w:r>
            <w:r>
              <w:rPr>
                <w:rFonts w:hint="eastAsia" w:ascii="仿宋" w:hAnsi="仿宋" w:eastAsia="仿宋" w:cs="仿宋"/>
                <w:lang w:val="en-US" w:eastAsia="zh-CN"/>
              </w:rPr>
              <w:br w:type="textWrapping"/>
            </w:r>
            <w:r>
              <w:rPr>
                <w:rFonts w:hint="eastAsia" w:ascii="仿宋" w:hAnsi="仿宋" w:eastAsia="仿宋" w:cs="仿宋"/>
                <w:lang w:val="en-US" w:eastAsia="zh-CN"/>
              </w:rPr>
              <w:t>3、材质：静电喷塑架、密度板</w:t>
            </w:r>
            <w:r>
              <w:rPr>
                <w:rFonts w:hint="eastAsia" w:ascii="仿宋" w:hAnsi="仿宋" w:eastAsia="仿宋" w:cs="仿宋"/>
                <w:lang w:val="en-US" w:eastAsia="zh-CN"/>
              </w:rPr>
              <w:br w:type="textWrapping"/>
            </w:r>
            <w:r>
              <w:rPr>
                <w:rFonts w:hint="eastAsia" w:ascii="仿宋" w:hAnsi="仿宋" w:eastAsia="仿宋" w:cs="仿宋"/>
                <w:lang w:val="en-US" w:eastAsia="zh-CN"/>
              </w:rPr>
              <w:t>4、桌面升架范围mm：610～810</w:t>
            </w:r>
            <w:r>
              <w:rPr>
                <w:rFonts w:hint="eastAsia" w:ascii="仿宋" w:hAnsi="仿宋" w:eastAsia="仿宋" w:cs="仿宋"/>
                <w:lang w:val="en-US" w:eastAsia="zh-CN"/>
              </w:rPr>
              <w:br w:type="textWrapping"/>
            </w:r>
            <w:r>
              <w:rPr>
                <w:rFonts w:hint="eastAsia" w:ascii="仿宋" w:hAnsi="仿宋" w:eastAsia="仿宋" w:cs="仿宋"/>
                <w:lang w:val="en-US" w:eastAsia="zh-CN"/>
              </w:rPr>
              <w:t>5、手柄转动力距mm：≥10</w:t>
            </w:r>
            <w:r>
              <w:rPr>
                <w:rFonts w:hint="eastAsia" w:ascii="仿宋" w:hAnsi="仿宋" w:eastAsia="仿宋" w:cs="仿宋"/>
                <w:lang w:val="en-US" w:eastAsia="zh-CN"/>
              </w:rPr>
              <w:br w:type="textWrapping"/>
            </w:r>
            <w:r>
              <w:rPr>
                <w:rFonts w:hint="eastAsia" w:ascii="仿宋" w:hAnsi="仿宋" w:eastAsia="仿宋" w:cs="仿宋"/>
                <w:lang w:val="en-US" w:eastAsia="zh-CN"/>
              </w:rPr>
              <w:t>6、桌面额定载荷mm：≥50</w:t>
            </w:r>
            <w:r>
              <w:rPr>
                <w:rFonts w:hint="eastAsia" w:ascii="仿宋" w:hAnsi="仿宋" w:eastAsia="仿宋" w:cs="仿宋"/>
                <w:lang w:val="en-US" w:eastAsia="zh-CN"/>
              </w:rPr>
              <w:br w:type="textWrapping"/>
            </w:r>
            <w:r>
              <w:rPr>
                <w:rFonts w:hint="eastAsia" w:ascii="仿宋" w:hAnsi="仿宋" w:eastAsia="仿宋" w:cs="仿宋"/>
                <w:lang w:val="en-US" w:eastAsia="zh-CN"/>
              </w:rPr>
              <w:t>7、桌面参考尺寸（长×宽）mm：≥1200×700</w:t>
            </w:r>
            <w:r>
              <w:rPr>
                <w:rFonts w:hint="eastAsia" w:ascii="仿宋" w:hAnsi="仿宋" w:eastAsia="仿宋" w:cs="仿宋"/>
                <w:lang w:val="en-US" w:eastAsia="zh-CN"/>
              </w:rPr>
              <w:br w:type="textWrapping"/>
            </w:r>
            <w:r>
              <w:rPr>
                <w:rFonts w:hint="eastAsia" w:ascii="仿宋" w:hAnsi="仿宋" w:eastAsia="仿宋" w:cs="仿宋"/>
                <w:lang w:val="en-US" w:eastAsia="zh-CN"/>
              </w:rPr>
              <w:t>8、参考质量：≥41.0kg</w:t>
            </w:r>
          </w:p>
          <w:p>
            <w:pPr>
              <w:pStyle w:val="2"/>
              <w:keepNext w:val="0"/>
              <w:keepLines w:val="0"/>
              <w:pageBreakBefore w:val="0"/>
              <w:numPr>
                <w:ilvl w:val="0"/>
                <w:numId w:val="0"/>
              </w:numPr>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lang w:val="en-US" w:eastAsia="zh-CN"/>
              </w:rPr>
              <w:t>9.</w:t>
            </w:r>
            <w:r>
              <w:rPr>
                <w:rFonts w:hint="eastAsia" w:ascii="仿宋" w:hAnsi="仿宋" w:eastAsia="仿宋" w:cs="仿宋"/>
                <w:b/>
                <w:bCs/>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气垫床</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10张</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结构及组成:该产品由气床垫(一体呈形减压框体，垫内无线缆无火灾隐患)、气道(合独立CPR和除湿通道)、充气泵主机(双核系</w:t>
            </w:r>
            <w:r>
              <w:rPr>
                <w:rFonts w:hint="eastAsia" w:ascii="仿宋" w:hAnsi="仿宋" w:eastAsia="仿宋" w:cs="仿宋"/>
                <w:lang w:val="en-US" w:eastAsia="zh-CN"/>
              </w:rPr>
              <w:br w:type="textWrapping"/>
            </w:r>
            <w:r>
              <w:rPr>
                <w:rFonts w:hint="eastAsia" w:ascii="仿宋" w:hAnsi="仿宋" w:eastAsia="仿宋" w:cs="仿宋"/>
                <w:lang w:val="en-US" w:eastAsia="zh-CN"/>
              </w:rPr>
              <w:t>统、双独立工作、双压力传感器)、嵌入软件组成。</w:t>
            </w:r>
          </w:p>
          <w:p>
            <w:pPr>
              <w:pStyle w:val="2"/>
              <w:keepNext w:val="0"/>
              <w:keepLines w:val="0"/>
              <w:pageBreakBefore w:val="0"/>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b/>
                <w:bCs/>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作业综合训练箱(OT训练套餐)</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2台</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锻炼和提高手指灵活和协调性。规格：≥55×40×14㎝参数：优质木料表面清漆整体是便携式手提木箱，箱子高14cm，内配不锈钢铁棍、木插棒、上螺丝、上螺母、ADL训练器具和玻璃球。</w:t>
            </w:r>
          </w:p>
          <w:p>
            <w:pPr>
              <w:pStyle w:val="2"/>
              <w:keepNext w:val="0"/>
              <w:keepLines w:val="0"/>
              <w:pageBreakBefore w:val="0"/>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b/>
                <w:bCs/>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9"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Style w:val="30"/>
                <w:lang w:val="en-US" w:eastAsia="zh-CN" w:bidi="ar"/>
              </w:rPr>
              <w:t>助行</w:t>
            </w:r>
            <w:r>
              <w:rPr>
                <w:rStyle w:val="31"/>
                <w:lang w:val="en-US" w:eastAsia="zh-CN" w:bidi="ar"/>
              </w:rPr>
              <w:t>器</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1个</w:t>
            </w:r>
          </w:p>
        </w:tc>
        <w:tc>
          <w:tcPr>
            <w:tcW w:w="3187" w:type="pct"/>
            <w:noWrap w:val="0"/>
            <w:vAlign w:val="center"/>
          </w:tcPr>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1.产品为框式扭动式助行架，适合1.55—1.80m人群使用</w:t>
            </w:r>
            <w:r>
              <w:rPr>
                <w:rFonts w:hint="eastAsia" w:ascii="仿宋" w:hAnsi="仿宋" w:eastAsia="仿宋" w:cs="仿宋"/>
                <w:lang w:val="en-US" w:eastAsia="zh-CN"/>
              </w:rPr>
              <w:br w:type="textWrapping"/>
            </w:r>
            <w:r>
              <w:rPr>
                <w:rFonts w:hint="eastAsia" w:ascii="仿宋" w:hAnsi="仿宋" w:eastAsia="仿宋" w:cs="仿宋"/>
                <w:lang w:val="en-US" w:eastAsia="zh-CN"/>
              </w:rPr>
              <w:t>2.助行架主架采用高强度铝合金焊接而成，管材壁厚为：Ф25*1.2，助行架表面采用光亮氧化处理；</w:t>
            </w:r>
            <w:r>
              <w:rPr>
                <w:rFonts w:hint="eastAsia" w:ascii="仿宋" w:hAnsi="仿宋" w:eastAsia="仿宋" w:cs="仿宋"/>
                <w:lang w:val="en-US" w:eastAsia="zh-CN"/>
              </w:rPr>
              <w:br w:type="textWrapping"/>
            </w:r>
            <w:r>
              <w:rPr>
                <w:rFonts w:hint="eastAsia" w:ascii="仿宋" w:hAnsi="仿宋" w:eastAsia="仿宋" w:cs="仿宋"/>
                <w:lang w:val="en-US" w:eastAsia="zh-CN"/>
              </w:rPr>
              <w:t>3.助行架利用前臂弹珠打开助行架即可使用，大架可折叠，方便携带，握把采用EVA无毒无害，易清洗材料，舒适度强；</w:t>
            </w:r>
            <w:r>
              <w:rPr>
                <w:rFonts w:hint="eastAsia" w:ascii="仿宋" w:hAnsi="仿宋" w:eastAsia="仿宋" w:cs="仿宋"/>
                <w:lang w:val="en-US" w:eastAsia="zh-CN"/>
              </w:rPr>
              <w:br w:type="textWrapping"/>
            </w:r>
            <w:r>
              <w:rPr>
                <w:rFonts w:hint="eastAsia" w:ascii="仿宋" w:hAnsi="仿宋" w:eastAsia="仿宋" w:cs="仿宋"/>
                <w:lang w:val="en-US" w:eastAsia="zh-CN"/>
              </w:rPr>
              <w:t>4.主要参数：大架长：55cm,宽：48cm,高度调节范围：74-84cm。</w:t>
            </w:r>
            <w:r>
              <w:rPr>
                <w:rFonts w:hint="eastAsia" w:ascii="仿宋" w:hAnsi="仿宋" w:eastAsia="仿宋" w:cs="仿宋"/>
                <w:lang w:val="en-US" w:eastAsia="zh-CN"/>
              </w:rPr>
              <w:br w:type="textWrapping"/>
            </w:r>
            <w:r>
              <w:rPr>
                <w:rFonts w:hint="eastAsia" w:ascii="仿宋" w:hAnsi="仿宋" w:eastAsia="仿宋" w:cs="仿宋"/>
                <w:lang w:val="en-US" w:eastAsia="zh-CN"/>
              </w:rPr>
              <w:t>5.性能：适用于下肢肌力较弱和平衡稳定性较差的患者步行训练。</w:t>
            </w:r>
          </w:p>
          <w:p>
            <w:pPr>
              <w:pStyle w:val="2"/>
              <w:keepNext w:val="0"/>
              <w:keepLines w:val="0"/>
              <w:pageBreakBefore w:val="0"/>
              <w:numPr>
                <w:ilvl w:val="0"/>
                <w:numId w:val="0"/>
              </w:numPr>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b/>
                <w:bCs/>
                <w:lang w:val="en-US" w:eastAsia="zh-CN"/>
              </w:rPr>
              <w:t>6.使用年限：≥5年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302010"/>
                <w:kern w:val="0"/>
                <w:sz w:val="20"/>
                <w:szCs w:val="20"/>
                <w:u w:val="none"/>
                <w:lang w:val="en-US" w:eastAsia="zh-CN" w:bidi="ar"/>
              </w:rPr>
              <w:t>电脑中频治疗仪</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7台</w:t>
            </w:r>
          </w:p>
        </w:tc>
        <w:tc>
          <w:tcPr>
            <w:tcW w:w="3187" w:type="pct"/>
            <w:noWrap w:val="0"/>
            <w:vAlign w:val="center"/>
          </w:tcPr>
          <w:p>
            <w:pPr>
              <w:keepNext w:val="0"/>
              <w:keepLines w:val="0"/>
              <w:pageBreakBefore w:val="0"/>
              <w:widowControl/>
              <w:numPr>
                <w:ilvl w:val="0"/>
                <w:numId w:val="4"/>
              </w:numPr>
              <w:tabs>
                <w:tab w:val="left" w:pos="180"/>
                <w:tab w:val="left" w:pos="1620"/>
                <w:tab w:val="clear" w:pos="312"/>
              </w:tabs>
              <w:kinsoku w:val="0"/>
              <w:wordWrap/>
              <w:overflowPunct/>
              <w:topLinePunct w:val="0"/>
              <w:autoSpaceDE w:val="0"/>
              <w:autoSpaceDN w:val="0"/>
              <w:bidi w:val="0"/>
              <w:adjustRightInd w:val="0"/>
              <w:snapToGrid w:val="0"/>
              <w:spacing w:line="380" w:lineRule="exact"/>
              <w:jc w:val="left"/>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额定输入功率：180VA。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2.使用电源：交流电压220V±22V, 频率50Hz ±1Hz。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3.尺寸(允差±20mm):长360mm,  宽340mm, 高205mm。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4.显示方式：数码触摸显示。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5.输出通道：四路中频加透热输出、四路离子导</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入直流输出、两路干扰电输出。即1、2两通道形成一组干扰；3、4两通 道形成一组干扰。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6.中频频率为1kHz～10kHz, 单一频率允差±10%。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7.低频调制频率为0～150Hz,单一频率允差±10%或±1Hz 取大值。</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8.中频载波波形：双向方波，脉宽50us～500us,允差±10%。调制波形有正弦波、方波、三角波、指数波、锯齿波、尖波、等幅波。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9.调制方式：连续、断续、间歇、变频、疏密和交替调制。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1)间歇调制：低频调制方波(载波)占空比为50%,允差±20%。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10.中频调幅度：0%、25%、50%、75%、100%,允差±5%。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11.干扰电性能：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工作频率：4kHz,  允差±10%。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调制频率：0.125Hz,  允差±10%。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差频频率范围：0～112Hz,   允差±10%或±1Hz 取较大值。</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调幅度：0%、100%,允差±5%。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差频变化周期：5.5s 、32s,   允差±10%。动态节律参数8S, 允差±10%。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12.具有100个固定处方，是理疗专家根据不同的疾病而编制成的，可供医生参考使用。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13.中频输出电流：在500Ω的负载下，每路输出电流不大于100mA。输出强度分0～99级可调。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14.输出电流稳定度：不同负载下的输出电流变化率应不大于10%。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15.中频输出峰值电压：在开路条件下测量时，中频输出峰值电压不得超 过500V。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16.运行：输出设定到最大值时，将输出端开路运行10min 后再短路运行 5min, 治疗仪应能正常工作。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17.电极板温度：38℃~55℃,分6档可调，允差±3℃。加热功能可单独 开启及关闭，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18.离子导入输出直流电流：在500Ω的负载下，每路输出电流不超过50mA, 分0～99级可调。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19.电极板：应选购具有一类医疗器械备案凭证的合格产品。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20.治疗时间已在处方中，治疗时间根据处方不同为20min 、25min 、30min、 40min、45min, 治疗时间到了有音响提示，并停止输出，时间允差±1min。</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21.该产品具有漏电保护、过载保护，短路保护。可连续使用4～5小时。固定形式：柜内存放，临时固定。  </w:t>
            </w:r>
          </w:p>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left"/>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22.</w:t>
            </w:r>
            <w:r>
              <w:rPr>
                <w:rFonts w:hint="eastAsia" w:ascii="仿宋" w:hAnsi="仿宋" w:eastAsia="仿宋" w:cs="仿宋"/>
                <w:b/>
                <w:bCs/>
                <w:lang w:val="en-US" w:eastAsia="zh-CN"/>
              </w:rPr>
              <w:t>使用年限：≥10年</w:t>
            </w:r>
            <w:r>
              <w:rPr>
                <w:rFonts w:hint="eastAsia" w:ascii="仿宋" w:hAnsi="仿宋" w:eastAsia="仿宋" w:cs="仿宋"/>
                <w:b/>
                <w:bCs/>
                <w:i w:val="0"/>
                <w:iCs w:val="0"/>
                <w:color w:val="000000"/>
                <w:kern w:val="0"/>
                <w:sz w:val="20"/>
                <w:szCs w:val="20"/>
                <w:u w:val="none"/>
                <w:lang w:val="en-US" w:eastAsia="zh-CN" w:bidi="ar"/>
              </w:rPr>
              <w:t xml:space="preserve">    </w:t>
            </w:r>
            <w:r>
              <w:rPr>
                <w:rFonts w:hint="eastAsia" w:ascii="仿宋" w:hAnsi="仿宋" w:eastAsia="仿宋" w:cs="仿宋"/>
                <w:i w:val="0"/>
                <w:iCs w:val="0"/>
                <w:color w:val="000000"/>
                <w:kern w:val="0"/>
                <w:sz w:val="20"/>
                <w:szCs w:val="20"/>
                <w:u w:val="none"/>
                <w:lang w:val="en-US" w:eastAsia="zh-CN" w:bidi="ar"/>
              </w:rPr>
              <w:t xml:space="preserve">                                                             适用范围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对肩周炎、肱骨外上髁炎、颈椎病、腰椎间盘突出症、退行性 骨性关节病、风湿性关节炎、类风湿关节炎、摈伤、挫伤、肌纤维织炎、  肌肉劳损、狭窄性腱鞘炎、坐骨神经痛、周围神经伤病、关节挛缩、盆腔  炎、附件炎、慢性咽喉炎、乳腺增生、慢性前列腺炎具有消炎和镇痛作用； 对肌炎、骨折延迟愈合、雷诺病具有改善局部血液循环和促进炎症消散的 作用；对废用性肌萎缩、尿潴留、神经或肌肉伤病后肌肉功能障碍、便秘、 胃下垂、术后肠麻痹、声带麻痹具有兴奋神经肌肉的作用；对瘢痕、瘢痕  挛缩、术后粘连、肠粘连、炎症后硬化、注射后硬结、阴茎海绵体硬结、  血肿机化、狭窄性腱鞘炎具有软化瘢痕、松解粘连的作用。</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短波紫外线治疗仪</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1台</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紫外线照射人体皮肤时，可引起皮肤红斑反映及色素沉着。不同波长，不同剂量紫外线生物学效应和治疗作用不同，具有消炎杀菌、镇痛、增强机体的免疫力等作用。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技术参数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1、额定输入功率：100VA。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2、使用电源：交流电压220V±22V，频率50Hz±1Hz。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3、外形尺寸（长宽高）：380×310×135mm，允差±5%。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4、操作显示：5英寸液晶屏，一键飞梭+按键。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5、紫外线发光类型：低压汞蒸气荧光灯和贴片式灯珠。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6、紫外线波长：254nm，允差±3nm；设备同时配置体腔照射器、体表照射器；体腔含直光导、弯光导、鼻光导共3种光导；体腔直光导辐照度22mW/cm</w:t>
            </w:r>
            <w:r>
              <w:rPr>
                <w:rStyle w:val="32"/>
                <w:rFonts w:hint="eastAsia" w:ascii="仿宋" w:hAnsi="仿宋" w:eastAsia="仿宋" w:cs="仿宋"/>
                <w:sz w:val="24"/>
                <w:szCs w:val="24"/>
                <w:lang w:val="en-US" w:eastAsia="zh-CN" w:bidi="ar"/>
              </w:rPr>
              <w:t>²</w:t>
            </w:r>
            <w:r>
              <w:rPr>
                <w:rFonts w:hint="eastAsia" w:ascii="仿宋" w:hAnsi="仿宋" w:eastAsia="仿宋" w:cs="仿宋"/>
                <w:i w:val="0"/>
                <w:iCs w:val="0"/>
                <w:color w:val="000000"/>
                <w:kern w:val="0"/>
                <w:sz w:val="20"/>
                <w:szCs w:val="20"/>
                <w:u w:val="none"/>
                <w:lang w:val="en-US" w:eastAsia="zh-CN" w:bidi="ar"/>
              </w:rPr>
              <w:t>、弯光导12mW/cm</w:t>
            </w:r>
            <w:r>
              <w:rPr>
                <w:rStyle w:val="32"/>
                <w:rFonts w:hint="eastAsia" w:ascii="仿宋" w:hAnsi="仿宋" w:eastAsia="仿宋" w:cs="仿宋"/>
                <w:sz w:val="24"/>
                <w:szCs w:val="24"/>
                <w:lang w:val="en-US" w:eastAsia="zh-CN" w:bidi="ar"/>
              </w:rPr>
              <w:t>²</w:t>
            </w:r>
            <w:r>
              <w:rPr>
                <w:rFonts w:hint="eastAsia" w:ascii="仿宋" w:hAnsi="仿宋" w:eastAsia="仿宋" w:cs="仿宋"/>
                <w:i w:val="0"/>
                <w:iCs w:val="0"/>
                <w:color w:val="000000"/>
                <w:kern w:val="0"/>
                <w:sz w:val="20"/>
                <w:szCs w:val="20"/>
                <w:u w:val="none"/>
                <w:lang w:val="en-US" w:eastAsia="zh-CN" w:bidi="ar"/>
              </w:rPr>
              <w:t>、鼻光导17mW/cm</w:t>
            </w:r>
            <w:r>
              <w:rPr>
                <w:rStyle w:val="32"/>
                <w:rFonts w:hint="eastAsia" w:ascii="仿宋" w:hAnsi="仿宋" w:eastAsia="仿宋" w:cs="仿宋"/>
                <w:sz w:val="24"/>
                <w:szCs w:val="24"/>
                <w:lang w:val="en-US" w:eastAsia="zh-CN" w:bidi="ar"/>
              </w:rPr>
              <w:t>²</w:t>
            </w:r>
            <w:r>
              <w:rPr>
                <w:rFonts w:hint="eastAsia" w:ascii="仿宋" w:hAnsi="仿宋" w:eastAsia="仿宋" w:cs="仿宋"/>
                <w:i w:val="0"/>
                <w:iCs w:val="0"/>
                <w:color w:val="000000"/>
                <w:kern w:val="0"/>
                <w:sz w:val="20"/>
                <w:szCs w:val="20"/>
                <w:u w:val="none"/>
                <w:lang w:val="en-US" w:eastAsia="zh-CN" w:bidi="ar"/>
              </w:rPr>
              <w:t>；体表治疗头辐照度25mW/cm</w:t>
            </w:r>
            <w:r>
              <w:rPr>
                <w:rStyle w:val="32"/>
                <w:rFonts w:hint="eastAsia" w:ascii="仿宋" w:hAnsi="仿宋" w:eastAsia="仿宋" w:cs="仿宋"/>
                <w:sz w:val="24"/>
                <w:szCs w:val="24"/>
                <w:lang w:val="en-US" w:eastAsia="zh-CN" w:bidi="ar"/>
              </w:rPr>
              <w:t>²</w:t>
            </w:r>
            <w:r>
              <w:rPr>
                <w:rFonts w:hint="eastAsia" w:ascii="仿宋" w:hAnsi="仿宋" w:eastAsia="仿宋" w:cs="仿宋"/>
                <w:i w:val="0"/>
                <w:iCs w:val="0"/>
                <w:color w:val="000000"/>
                <w:kern w:val="0"/>
                <w:sz w:val="20"/>
                <w:szCs w:val="20"/>
                <w:u w:val="none"/>
                <w:lang w:val="en-US" w:eastAsia="zh-CN" w:bidi="ar"/>
              </w:rPr>
              <w:t>，允差均±20%。</w:t>
            </w:r>
            <w:r>
              <w:rPr>
                <w:rFonts w:hint="eastAsia" w:ascii="仿宋" w:hAnsi="仿宋" w:eastAsia="仿宋" w:cs="仿宋"/>
                <w:b/>
                <w:bCs/>
                <w:i w:val="0"/>
                <w:iCs w:val="0"/>
                <w:color w:val="000000"/>
                <w:kern w:val="0"/>
                <w:sz w:val="20"/>
                <w:szCs w:val="20"/>
                <w:u w:val="none"/>
                <w:lang w:val="en-US" w:eastAsia="zh-CN" w:bidi="ar"/>
              </w:rPr>
              <w:t>（提供注册检验报告佐证）</w:t>
            </w:r>
            <w:r>
              <w:rPr>
                <w:rFonts w:hint="eastAsia" w:ascii="仿宋" w:hAnsi="仿宋" w:eastAsia="仿宋" w:cs="仿宋"/>
                <w:b/>
                <w:bCs/>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7、定时时间：1～999秒，步进1s，允差±2%。</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8、输出通道：双通道，设备输出通道为双通道，具备体腔、体表两种工作模式。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9、具有体腔照射器和体表照射器。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10、紫外辐照强度的稳定性小于5%；体表照射器紫外线辐照强度均匀性小于±25%。</w:t>
            </w:r>
          </w:p>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11.</w:t>
            </w:r>
            <w:r>
              <w:rPr>
                <w:rFonts w:hint="eastAsia" w:ascii="仿宋" w:hAnsi="仿宋" w:eastAsia="仿宋" w:cs="仿宋"/>
                <w:b/>
                <w:bCs/>
                <w:lang w:val="en-US" w:eastAsia="zh-CN"/>
              </w:rPr>
              <w:t>使用年限：≥10年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适用于浅表软组织急性炎症的辅助治疗。</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聚焦超声治疗仪</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1台</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技术参数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1.适用范围：产品利用聚焦超声技术用于人体的颈肩部、腰腹部和四肢部位慢性软组织损伤性疼痛的治疗。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2.超声治疗头主机集成一体机。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3.声工作频率：≥0.8MHz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4.额定输出声功率≤7.0W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5.采用低强度聚焦脉冲超声技术，治疗头输出端采用透声膜。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6.超声换能器球面半径：≥40mm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7.波束类别：会聚型。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8.空间峰值时间平均声强（Ispta）:≤1.5W/cm2</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9.焦平面距离： 5-50mm。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10.脉冲占空比：2%-100%；脉冲重复周期:2.5ms。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11.治疗时间：0-300秒范围内可调，步进为1秒。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12.调制波形：方波。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13.治疗头超温：治疗头辐射表面的温度≤41℃。</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14.全周期压控技术：控制电路设计采用动态实时反馈技术，对返回电流进行监控，稳定电流，以避免超声功率输出超标，确保治疗仪的安全性。（说明书）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17.设备使用年限不低于8年。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18.内置电池，无线操作。</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PT板凳</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10张</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材质：铝钢结合、座垫泡沫海绵、优质PU革；外形尺寸55×55×88～100cm；凳面高度调节范围：45cm～55cm；带液压油缸，360°旋转；额定承载：≥2000N；产品用途：康复师进行手法治疗时可移动的坐具。特点和功能：1、凳面高度可调，方便康复师做手法治疗。2、凳体底部设计有万向滑轮，可以自由移动。3、凳面可以360°旋转。4、有靠背，方便康复师休息。</w:t>
            </w:r>
          </w:p>
          <w:p>
            <w:pPr>
              <w:pStyle w:val="2"/>
              <w:keepNext w:val="0"/>
              <w:keepLines w:val="0"/>
              <w:pageBreakBefore w:val="0"/>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b/>
                <w:bCs/>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上下肢主被动康复训练系统</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1台</w:t>
            </w:r>
          </w:p>
        </w:tc>
        <w:tc>
          <w:tcPr>
            <w:tcW w:w="3187" w:type="pct"/>
            <w:noWrap w:val="0"/>
            <w:vAlign w:val="center"/>
          </w:tcPr>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1.设备提供≥3种基本训练模式，包括被动训练、主动训练、助力训练；</w:t>
            </w:r>
            <w:r>
              <w:rPr>
                <w:rFonts w:hint="eastAsia" w:ascii="仿宋" w:hAnsi="仿宋" w:eastAsia="仿宋" w:cs="仿宋"/>
                <w:lang w:val="en-US" w:eastAsia="zh-CN"/>
              </w:rPr>
              <w:br w:type="textWrapping"/>
            </w:r>
            <w:r>
              <w:rPr>
                <w:rFonts w:hint="eastAsia" w:ascii="仿宋" w:hAnsi="仿宋" w:eastAsia="仿宋" w:cs="仿宋"/>
                <w:lang w:val="en-US" w:eastAsia="zh-CN"/>
              </w:rPr>
              <w:t xml:space="preserve">2.设备支持上肢训练、下肢训练和上下肢联动训练； </w:t>
            </w:r>
            <w:r>
              <w:rPr>
                <w:rFonts w:hint="eastAsia" w:ascii="仿宋" w:hAnsi="仿宋" w:eastAsia="仿宋" w:cs="仿宋"/>
                <w:lang w:val="en-US" w:eastAsia="zh-CN"/>
              </w:rPr>
              <w:br w:type="textWrapping"/>
            </w:r>
            <w:r>
              <w:rPr>
                <w:rFonts w:hint="eastAsia" w:ascii="仿宋" w:hAnsi="仿宋" w:eastAsia="仿宋" w:cs="仿宋"/>
                <w:lang w:val="en-US" w:eastAsia="zh-CN"/>
              </w:rPr>
              <w:t>3.设备能够根据患者运动状态自动切换主动模式和被动模式，同时支持手动选择模式；</w:t>
            </w:r>
            <w:r>
              <w:rPr>
                <w:rFonts w:hint="eastAsia" w:ascii="仿宋" w:hAnsi="仿宋" w:eastAsia="仿宋" w:cs="仿宋"/>
                <w:lang w:val="en-US" w:eastAsia="zh-CN"/>
              </w:rPr>
              <w:br w:type="textWrapping"/>
            </w:r>
            <w:r>
              <w:rPr>
                <w:rFonts w:hint="eastAsia" w:ascii="仿宋" w:hAnsi="仿宋" w:eastAsia="仿宋" w:cs="仿宋"/>
                <w:lang w:val="en-US" w:eastAsia="zh-CN"/>
              </w:rPr>
              <w:t>4.提供≥10种预设训练程序，包含标准程序、等速程序、速度程序、协调能力程序、力量和耐力程序、游戏程序、对称性程序、骨科程序、心肺程序、弹簧程序；</w:t>
            </w:r>
            <w:r>
              <w:rPr>
                <w:rFonts w:hint="eastAsia" w:ascii="仿宋" w:hAnsi="仿宋" w:eastAsia="仿宋" w:cs="仿宋"/>
                <w:lang w:val="en-US" w:eastAsia="zh-CN"/>
              </w:rPr>
              <w:br w:type="textWrapping"/>
            </w:r>
            <w:r>
              <w:rPr>
                <w:rFonts w:hint="eastAsia" w:ascii="仿宋" w:hAnsi="仿宋" w:eastAsia="仿宋" w:cs="仿宋"/>
                <w:lang w:val="en-US" w:eastAsia="zh-CN"/>
              </w:rPr>
              <w:t>5.设备高度支持电动调节，调节范围0~180mm；</w:t>
            </w:r>
            <w:r>
              <w:rPr>
                <w:rFonts w:hint="eastAsia" w:ascii="仿宋" w:hAnsi="仿宋" w:eastAsia="仿宋" w:cs="仿宋"/>
                <w:lang w:val="en-US" w:eastAsia="zh-CN"/>
              </w:rPr>
              <w:br w:type="textWrapping"/>
            </w:r>
            <w:r>
              <w:rPr>
                <w:rFonts w:hint="eastAsia" w:ascii="仿宋" w:hAnsi="仿宋" w:eastAsia="仿宋" w:cs="仿宋"/>
                <w:lang w:val="en-US" w:eastAsia="zh-CN"/>
              </w:rPr>
              <w:t>6.设备可提供最大下肢被动训练力度20Nm，可提供最大阻力力度为20Nm；</w:t>
            </w:r>
            <w:r>
              <w:rPr>
                <w:rFonts w:hint="eastAsia" w:ascii="仿宋" w:hAnsi="仿宋" w:eastAsia="仿宋" w:cs="仿宋"/>
                <w:lang w:val="en-US" w:eastAsia="zh-CN"/>
              </w:rPr>
              <w:br w:type="textWrapping"/>
            </w:r>
            <w:r>
              <w:rPr>
                <w:rFonts w:hint="eastAsia" w:ascii="仿宋" w:hAnsi="仿宋" w:eastAsia="仿宋" w:cs="仿宋"/>
                <w:lang w:val="en-US" w:eastAsia="zh-CN"/>
              </w:rPr>
              <w:t>7.设备被动训练速度可调，最大被动速度为90r/min；</w:t>
            </w:r>
            <w:r>
              <w:rPr>
                <w:rFonts w:hint="eastAsia" w:ascii="仿宋" w:hAnsi="仿宋" w:eastAsia="仿宋" w:cs="仿宋"/>
                <w:lang w:val="en-US" w:eastAsia="zh-CN"/>
              </w:rPr>
              <w:br w:type="textWrapping"/>
            </w:r>
            <w:r>
              <w:rPr>
                <w:rFonts w:hint="eastAsia" w:ascii="仿宋" w:hAnsi="仿宋" w:eastAsia="仿宋" w:cs="仿宋"/>
                <w:lang w:val="en-US" w:eastAsia="zh-CN"/>
              </w:rPr>
              <w:t>8.启动训练、停止训练、手动和自动切换方向时的速度变化率不应大于0.5r/s2  ；</w:t>
            </w:r>
            <w:r>
              <w:rPr>
                <w:rFonts w:hint="eastAsia" w:ascii="仿宋" w:hAnsi="仿宋" w:eastAsia="仿宋" w:cs="仿宋"/>
                <w:lang w:val="en-US" w:eastAsia="zh-CN"/>
              </w:rPr>
              <w:br w:type="textWrapping"/>
            </w:r>
            <w:r>
              <w:rPr>
                <w:rFonts w:hint="eastAsia" w:ascii="仿宋" w:hAnsi="仿宋" w:eastAsia="仿宋" w:cs="仿宋"/>
                <w:lang w:val="en-US" w:eastAsia="zh-CN"/>
              </w:rPr>
              <w:t>9.主动最大速度限制值为160r/min；</w:t>
            </w:r>
            <w:r>
              <w:rPr>
                <w:rFonts w:hint="eastAsia" w:ascii="仿宋" w:hAnsi="仿宋" w:eastAsia="仿宋" w:cs="仿宋"/>
                <w:lang w:val="en-US" w:eastAsia="zh-CN"/>
              </w:rPr>
              <w:br w:type="textWrapping"/>
            </w:r>
            <w:r>
              <w:rPr>
                <w:rFonts w:hint="eastAsia" w:ascii="仿宋" w:hAnsi="仿宋" w:eastAsia="仿宋" w:cs="仿宋"/>
                <w:lang w:val="en-US" w:eastAsia="zh-CN"/>
              </w:rPr>
              <w:t>10.设备具有佩戴辅助功能，可电动调节上肢训练器、下肢训练器位置，并提供阻尼锁定；</w:t>
            </w:r>
            <w:r>
              <w:rPr>
                <w:rFonts w:hint="eastAsia" w:ascii="仿宋" w:hAnsi="仿宋" w:eastAsia="仿宋" w:cs="仿宋"/>
                <w:lang w:val="en-US" w:eastAsia="zh-CN"/>
              </w:rPr>
              <w:br w:type="textWrapping"/>
            </w:r>
            <w:r>
              <w:rPr>
                <w:rFonts w:hint="eastAsia" w:ascii="仿宋" w:hAnsi="仿宋" w:eastAsia="仿宋" w:cs="仿宋"/>
                <w:lang w:val="en-US" w:eastAsia="zh-CN"/>
              </w:rPr>
              <w:t>11.具备≥3种安全保护：痉挛保护、手动急停开关、意外断电保护；</w:t>
            </w:r>
            <w:r>
              <w:rPr>
                <w:rFonts w:hint="eastAsia" w:ascii="仿宋" w:hAnsi="仿宋" w:eastAsia="仿宋" w:cs="仿宋"/>
                <w:lang w:val="en-US" w:eastAsia="zh-CN"/>
              </w:rPr>
              <w:br w:type="textWrapping"/>
            </w:r>
            <w:r>
              <w:rPr>
                <w:rFonts w:hint="eastAsia" w:ascii="仿宋" w:hAnsi="仿宋" w:eastAsia="仿宋" w:cs="仿宋"/>
                <w:lang w:val="en-US" w:eastAsia="zh-CN"/>
              </w:rPr>
              <w:t>12.设备痉挛灵敏度三级可调，且设备能按设置的痉挛缓解方式运行，包含反向运动、同向运动或者停止运动；</w:t>
            </w:r>
            <w:r>
              <w:rPr>
                <w:rFonts w:hint="eastAsia" w:ascii="仿宋" w:hAnsi="仿宋" w:eastAsia="仿宋" w:cs="仿宋"/>
                <w:lang w:val="en-US" w:eastAsia="zh-CN"/>
              </w:rPr>
              <w:br w:type="textWrapping"/>
            </w:r>
            <w:r>
              <w:rPr>
                <w:rFonts w:hint="eastAsia" w:ascii="仿宋" w:hAnsi="仿宋" w:eastAsia="仿宋" w:cs="仿宋"/>
                <w:lang w:val="en-US" w:eastAsia="zh-CN"/>
              </w:rPr>
              <w:t>13.设备提供患者管理功能，包含患者新建、编辑、删除（含批量删除）、搜索及加入/移出 （含批量移出）白名单功能；</w:t>
            </w:r>
            <w:r>
              <w:rPr>
                <w:rFonts w:hint="eastAsia" w:ascii="仿宋" w:hAnsi="仿宋" w:eastAsia="仿宋" w:cs="仿宋"/>
                <w:lang w:val="en-US" w:eastAsia="zh-CN"/>
              </w:rPr>
              <w:br w:type="textWrapping"/>
            </w:r>
            <w:r>
              <w:rPr>
                <w:rFonts w:hint="eastAsia" w:ascii="仿宋" w:hAnsi="仿宋" w:eastAsia="仿宋" w:cs="仿宋"/>
                <w:lang w:val="en-US" w:eastAsia="zh-CN"/>
              </w:rPr>
              <w:t>14.设备提供报告管理功能，包括训练总时长（区分主动、被动、助力）、总距离（主动运动距离、被动运动距离），对称性（左右对称性、被动对称性、主动对称性）等数据；</w:t>
            </w:r>
            <w:r>
              <w:rPr>
                <w:rFonts w:hint="eastAsia" w:ascii="仿宋" w:hAnsi="仿宋" w:eastAsia="仿宋" w:cs="仿宋"/>
                <w:lang w:val="en-US" w:eastAsia="zh-CN"/>
              </w:rPr>
              <w:br w:type="textWrapping"/>
            </w:r>
            <w:r>
              <w:rPr>
                <w:rFonts w:hint="eastAsia" w:ascii="仿宋" w:hAnsi="仿宋" w:eastAsia="仿宋" w:cs="仿宋"/>
                <w:lang w:val="en-US" w:eastAsia="zh-CN"/>
              </w:rPr>
              <w:t>15.设备提供计划管理功能，包含训练计划的新增、编辑、删除、搜索以及计划状态显示；</w:t>
            </w:r>
            <w:r>
              <w:rPr>
                <w:rFonts w:hint="eastAsia" w:ascii="仿宋" w:hAnsi="仿宋" w:eastAsia="仿宋" w:cs="仿宋"/>
                <w:lang w:val="en-US" w:eastAsia="zh-CN"/>
              </w:rPr>
              <w:br w:type="textWrapping"/>
            </w:r>
            <w:r>
              <w:rPr>
                <w:rFonts w:hint="eastAsia" w:ascii="仿宋" w:hAnsi="仿宋" w:eastAsia="仿宋" w:cs="仿宋"/>
                <w:lang w:val="en-US" w:eastAsia="zh-CN"/>
              </w:rPr>
              <w:t>16.设备提供物联功能：支持数据接口及用户访问控制，通过Wi-Fi与终端设备进行TCP/IP协议通信；</w:t>
            </w:r>
          </w:p>
          <w:p>
            <w:pPr>
              <w:keepNext w:val="0"/>
              <w:keepLines w:val="0"/>
              <w:pageBreakBefore w:val="0"/>
              <w:widowControl/>
              <w:numPr>
                <w:ilvl w:val="0"/>
                <w:numId w:val="0"/>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17.使用年限：≥8年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14</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普通病床</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9张</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▲1.产品需通过ISO14001环境管理体系认证、ISO45001职业健康安全管理体系认证；通过ISO9001、ISO13485质量管理体系认证。（提供各项资质认证文件）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2、规格：长度2100㎜，</w:t>
            </w:r>
            <w:r>
              <w:rPr>
                <w:rFonts w:hint="eastAsia" w:ascii="仿宋" w:hAnsi="仿宋" w:eastAsia="仿宋" w:cs="仿宋"/>
                <w:i w:val="0"/>
                <w:iCs w:val="0"/>
                <w:color w:val="000000"/>
                <w:kern w:val="0"/>
                <w:sz w:val="20"/>
                <w:szCs w:val="20"/>
                <w:highlight w:val="yellow"/>
                <w:u w:val="none"/>
                <w:lang w:val="en-US" w:eastAsia="zh-CN" w:bidi="ar"/>
              </w:rPr>
              <w:t>宽度900㎜</w:t>
            </w:r>
            <w:r>
              <w:rPr>
                <w:rFonts w:hint="eastAsia" w:ascii="仿宋" w:hAnsi="仿宋" w:eastAsia="仿宋" w:cs="仿宋"/>
                <w:i w:val="0"/>
                <w:iCs w:val="0"/>
                <w:color w:val="000000"/>
                <w:kern w:val="0"/>
                <w:sz w:val="20"/>
                <w:szCs w:val="20"/>
                <w:u w:val="none"/>
                <w:lang w:val="en-US" w:eastAsia="zh-CN" w:bidi="ar"/>
              </w:rPr>
              <w:t>，床体高度500mm  ±10mm；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3.1背板调节0-75°；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3.2腿部调节≥35°；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3.3四角刹车；一键刹车。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4、材质要求：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▲4.1床体骨架采用≥80*40*1.5mm的成型方管焊接而成，先进的焊接工艺，焊接质量优质，床体坚固;（为保证产品生产过程的牢固性需提供生产厂家1 台以上包含 1 台激光切割机设备的合同、发票。另需要提供投标生产厂家焊接机器人3台以上包含焊接机器人设备的合同、发票）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4.2床面：采用≥1.2mm的冷轧钢板。冲压成凹型，多气孔设计，便于透气并具有防滑功能。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▲4.3床体采用优质抗菌粉末静电喷涂而成，具有环保、抗菌的作用。（为保证产品喷涂的牢固性需提供生产厂家1 套以上包含 1 套粉末喷涂设备的合同、发票。粉末SGS检验报告）</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▲4.5 涂料对微生物大肠挨希氏菌和金黄色葡萄球菌均具有抗菌作用。（提供粉末抗菌性能检验报告）</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4.6床头、床尾板采用ABS工程塑料一次吹塑成型，挂式设计可拆卸方便，无缝制成，稳定可靠，拆卸方便，尾板外侧有病人信息卡插槽；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▲4.8配置φ125静音脚轮，四角刹车，易于固定或推动床体。（为保证静音轮配件的耐久性需要生产厂家具备检验静音轮耐久性检验设备，需要提供生产厂家检验设备的发票、合同和实物照片）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4.9护栏采用全覆式铝合金折叠护栏，采用加厚铝合金材质，经久耐用，不易变形，抗腐蚀，光滑美观易清洁。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4.10四角带有输液架插孔。</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4.11摇杆传动升降系统，无塑料结构，耐磨、抗压、寿命长，加装双向到位无极限保护装置、增强使用寿命和安全性能。保证使用省力、摇动顺畅。</w:t>
            </w:r>
          </w:p>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lang w:val="en-US" w:eastAsia="zh-CN"/>
              </w:rPr>
              <w:t>使用年限：≥10年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配置清单：床头柜1个、餐板1块、输液架1根、床垫1张、引流挂钩4个、床底置物架1个。</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15</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床头柜</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6个</w:t>
            </w:r>
          </w:p>
        </w:tc>
        <w:tc>
          <w:tcPr>
            <w:tcW w:w="3187" w:type="pct"/>
            <w:noWrap w:val="0"/>
            <w:vAlign w:val="center"/>
          </w:tcPr>
          <w:p>
            <w:pPr>
              <w:keepNext w:val="0"/>
              <w:keepLines w:val="0"/>
              <w:pageBreakBefore w:val="0"/>
              <w:widowControl/>
              <w:numPr>
                <w:ilvl w:val="0"/>
                <w:numId w:val="5"/>
              </w:numPr>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外形尺寸</w:t>
            </w:r>
            <w:r>
              <w:rPr>
                <w:rFonts w:hint="eastAsia" w:ascii="仿宋" w:hAnsi="仿宋" w:eastAsia="仿宋" w:cs="仿宋"/>
                <w:lang w:val="en-US" w:eastAsia="zh-CN"/>
              </w:rPr>
              <w:br w:type="textWrapping"/>
            </w:r>
            <w:r>
              <w:rPr>
                <w:rFonts w:hint="eastAsia" w:ascii="仿宋" w:hAnsi="仿宋" w:eastAsia="仿宋" w:cs="仿宋"/>
                <w:lang w:val="en-US" w:eastAsia="zh-CN"/>
              </w:rPr>
              <w:t>尺寸：480*480*760mm，公差 ±10mm</w:t>
            </w:r>
            <w:r>
              <w:rPr>
                <w:rFonts w:hint="eastAsia" w:ascii="仿宋" w:hAnsi="仿宋" w:eastAsia="仿宋" w:cs="仿宋"/>
                <w:lang w:val="en-US" w:eastAsia="zh-CN"/>
              </w:rPr>
              <w:br w:type="textWrapping"/>
            </w:r>
            <w:r>
              <w:rPr>
                <w:rFonts w:hint="eastAsia" w:ascii="仿宋" w:hAnsi="仿宋" w:eastAsia="仿宋" w:cs="仿宋"/>
                <w:lang w:val="en-US" w:eastAsia="zh-CN"/>
              </w:rPr>
              <w:t>1.整体采用原生ABS材料注塑成型，材料强度高，耐磨、耐刮、防腐蚀（防酸碱等），外形美观大方，颜色选用蓝白色。</w:t>
            </w:r>
            <w:r>
              <w:rPr>
                <w:rFonts w:hint="eastAsia" w:ascii="仿宋" w:hAnsi="仿宋" w:eastAsia="仿宋" w:cs="仿宋"/>
                <w:lang w:val="en-US" w:eastAsia="zh-CN"/>
              </w:rPr>
              <w:br w:type="textWrapping"/>
            </w:r>
            <w:r>
              <w:rPr>
                <w:rFonts w:hint="eastAsia" w:ascii="仿宋" w:hAnsi="仿宋" w:eastAsia="仿宋" w:cs="仿宋"/>
                <w:lang w:val="en-US" w:eastAsia="zh-CN"/>
              </w:rPr>
              <w:t>2.床头柜由柜体、面盖、柜门、抽屉、拉板、毛巾架等组成，拉板设计有水杯及温度计放置槽；</w:t>
            </w:r>
            <w:r>
              <w:rPr>
                <w:rFonts w:hint="eastAsia" w:ascii="仿宋" w:hAnsi="仿宋" w:eastAsia="仿宋" w:cs="仿宋"/>
                <w:lang w:val="en-US" w:eastAsia="zh-CN"/>
              </w:rPr>
              <w:br w:type="textWrapping"/>
            </w:r>
            <w:r>
              <w:rPr>
                <w:rFonts w:hint="eastAsia" w:ascii="仿宋" w:hAnsi="仿宋" w:eastAsia="仿宋" w:cs="仿宋"/>
                <w:lang w:val="en-US" w:eastAsia="zh-CN"/>
              </w:rPr>
              <w:t>3.储物柜内空间大，配有隔板。</w:t>
            </w:r>
            <w:r>
              <w:rPr>
                <w:rFonts w:hint="eastAsia" w:ascii="仿宋" w:hAnsi="仿宋" w:eastAsia="仿宋" w:cs="仿宋"/>
                <w:lang w:val="en-US" w:eastAsia="zh-CN"/>
              </w:rPr>
              <w:br w:type="textWrapping"/>
            </w:r>
            <w:r>
              <w:rPr>
                <w:rFonts w:hint="eastAsia" w:ascii="仿宋" w:hAnsi="仿宋" w:eastAsia="仿宋" w:cs="仿宋"/>
                <w:lang w:val="en-US" w:eastAsia="zh-CN"/>
              </w:rPr>
              <w:t>4.柜体正床头柜形状为圆弧状，左右两侧面配有折叠隐藏式毛巾架，需用时将伸出，反之不用时收拢，放置在柜体侧面型体内，角度范围在90度；</w:t>
            </w:r>
            <w:r>
              <w:rPr>
                <w:rFonts w:hint="eastAsia" w:ascii="仿宋" w:hAnsi="仿宋" w:eastAsia="仿宋" w:cs="仿宋"/>
                <w:lang w:val="en-US" w:eastAsia="zh-CN"/>
              </w:rPr>
              <w:br w:type="textWrapping"/>
            </w:r>
            <w:r>
              <w:rPr>
                <w:rFonts w:hint="eastAsia" w:ascii="仿宋" w:hAnsi="仿宋" w:eastAsia="仿宋" w:cs="仿宋"/>
                <w:lang w:val="en-US" w:eastAsia="zh-CN"/>
              </w:rPr>
              <w:t>5.柜门拉手特点符合人体工学原理。</w:t>
            </w:r>
          </w:p>
          <w:p>
            <w:pPr>
              <w:pStyle w:val="2"/>
              <w:keepNext w:val="0"/>
              <w:keepLines w:val="0"/>
              <w:pageBreakBefore w:val="0"/>
              <w:numPr>
                <w:ilvl w:val="0"/>
                <w:numId w:val="0"/>
              </w:numPr>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lang w:val="en-US" w:eastAsia="zh-CN"/>
              </w:rPr>
              <w:t>使用年限：≥5年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16</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紫外线消毒车</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1台</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基本参数</w:t>
            </w:r>
            <w:r>
              <w:rPr>
                <w:rFonts w:hint="eastAsia" w:ascii="仿宋" w:hAnsi="仿宋" w:eastAsia="仿宋" w:cs="仿宋"/>
                <w:lang w:val="en-US" w:eastAsia="zh-CN"/>
              </w:rPr>
              <w:br w:type="textWrapping"/>
            </w:r>
            <w:r>
              <w:rPr>
                <w:rFonts w:hint="eastAsia" w:ascii="仿宋" w:hAnsi="仿宋" w:eastAsia="仿宋" w:cs="仿宋"/>
                <w:lang w:val="en-US" w:eastAsia="zh-CN"/>
              </w:rPr>
              <w:t>1.款式：移动式；</w:t>
            </w:r>
            <w:r>
              <w:rPr>
                <w:rFonts w:hint="eastAsia" w:ascii="仿宋" w:hAnsi="仿宋" w:eastAsia="仿宋" w:cs="仿宋"/>
                <w:lang w:val="en-US" w:eastAsia="zh-CN"/>
              </w:rPr>
              <w:br w:type="textWrapping"/>
            </w:r>
            <w:r>
              <w:rPr>
                <w:rFonts w:hint="eastAsia" w:ascii="仿宋" w:hAnsi="仿宋" w:eastAsia="仿宋" w:cs="仿宋"/>
                <w:lang w:val="en-US" w:eastAsia="zh-CN"/>
              </w:rPr>
              <w:t>2.尺寸：950*440*350；</w:t>
            </w:r>
            <w:r>
              <w:rPr>
                <w:rFonts w:hint="eastAsia" w:ascii="仿宋" w:hAnsi="仿宋" w:eastAsia="仿宋" w:cs="仿宋"/>
                <w:lang w:val="en-US" w:eastAsia="zh-CN"/>
              </w:rPr>
              <w:br w:type="textWrapping"/>
            </w:r>
            <w:r>
              <w:rPr>
                <w:rFonts w:hint="eastAsia" w:ascii="仿宋" w:hAnsi="仿宋" w:eastAsia="仿宋" w:cs="仿宋"/>
                <w:lang w:val="en-US" w:eastAsia="zh-CN"/>
              </w:rPr>
              <w:t>3.外壳材质：全金属折弯焊接成型，表面做防锈喷塑处理，结实耐用；</w:t>
            </w:r>
            <w:r>
              <w:rPr>
                <w:rFonts w:hint="eastAsia" w:ascii="仿宋" w:hAnsi="仿宋" w:eastAsia="仿宋" w:cs="仿宋"/>
                <w:lang w:val="en-US" w:eastAsia="zh-CN"/>
              </w:rPr>
              <w:br w:type="textWrapping"/>
            </w:r>
            <w:r>
              <w:rPr>
                <w:rFonts w:hint="eastAsia" w:ascii="仿宋" w:hAnsi="仿宋" w:eastAsia="仿宋" w:cs="仿宋"/>
                <w:lang w:val="en-US" w:eastAsia="zh-CN"/>
              </w:rPr>
              <w:t>4.采用4个静音360°旋转车轮，移动方便；</w:t>
            </w:r>
            <w:r>
              <w:rPr>
                <w:rFonts w:hint="eastAsia" w:ascii="仿宋" w:hAnsi="仿宋" w:eastAsia="仿宋" w:cs="仿宋"/>
                <w:lang w:val="en-US" w:eastAsia="zh-CN"/>
              </w:rPr>
              <w:br w:type="textWrapping"/>
            </w:r>
            <w:r>
              <w:rPr>
                <w:rFonts w:hint="eastAsia" w:ascii="仿宋" w:hAnsi="仿宋" w:eastAsia="仿宋" w:cs="仿宋"/>
                <w:lang w:val="en-US" w:eastAsia="zh-CN"/>
              </w:rPr>
              <w:t>5.采用双灯管设计，可分别单管工作；</w:t>
            </w:r>
            <w:r>
              <w:rPr>
                <w:rFonts w:hint="eastAsia" w:ascii="仿宋" w:hAnsi="仿宋" w:eastAsia="仿宋" w:cs="仿宋"/>
                <w:lang w:val="en-US" w:eastAsia="zh-CN"/>
              </w:rPr>
              <w:br w:type="textWrapping"/>
            </w:r>
            <w:r>
              <w:rPr>
                <w:rFonts w:hint="eastAsia" w:ascii="仿宋" w:hAnsi="仿宋" w:eastAsia="仿宋" w:cs="仿宋"/>
                <w:lang w:val="en-US" w:eastAsia="zh-CN"/>
              </w:rPr>
              <w:t>6.灯臂可调角度：0-180°；</w:t>
            </w:r>
            <w:r>
              <w:rPr>
                <w:rFonts w:hint="eastAsia" w:ascii="仿宋" w:hAnsi="仿宋" w:eastAsia="仿宋" w:cs="仿宋"/>
                <w:lang w:val="en-US" w:eastAsia="zh-CN"/>
              </w:rPr>
              <w:br w:type="textWrapping"/>
            </w:r>
            <w:r>
              <w:rPr>
                <w:rFonts w:hint="eastAsia" w:ascii="仿宋" w:hAnsi="仿宋" w:eastAsia="仿宋" w:cs="仿宋"/>
                <w:lang w:val="en-US" w:eastAsia="zh-CN"/>
              </w:rPr>
              <w:t>7.灯管长(灯脚):91cm；</w:t>
            </w:r>
            <w:r>
              <w:rPr>
                <w:rFonts w:hint="eastAsia" w:ascii="仿宋" w:hAnsi="仿宋" w:eastAsia="仿宋" w:cs="仿宋"/>
                <w:lang w:val="en-US" w:eastAsia="zh-CN"/>
              </w:rPr>
              <w:br w:type="textWrapping"/>
            </w:r>
            <w:r>
              <w:rPr>
                <w:rFonts w:hint="eastAsia" w:ascii="仿宋" w:hAnsi="仿宋" w:eastAsia="仿宋" w:cs="仿宋"/>
                <w:lang w:val="en-US" w:eastAsia="zh-CN"/>
              </w:rPr>
              <w:t>8.熔断器规格：F3AL250V；</w:t>
            </w:r>
            <w:r>
              <w:rPr>
                <w:rFonts w:hint="eastAsia" w:ascii="仿宋" w:hAnsi="仿宋" w:eastAsia="仿宋" w:cs="仿宋"/>
                <w:lang w:val="en-US" w:eastAsia="zh-CN"/>
              </w:rPr>
              <w:br w:type="textWrapping"/>
            </w:r>
            <w:r>
              <w:rPr>
                <w:rFonts w:hint="eastAsia" w:ascii="仿宋" w:hAnsi="仿宋" w:eastAsia="仿宋" w:cs="仿宋"/>
                <w:lang w:val="en-US" w:eastAsia="zh-CN"/>
              </w:rPr>
              <w:t>9.紫外线辐射波长：253.7nm；</w:t>
            </w:r>
            <w:r>
              <w:rPr>
                <w:rFonts w:hint="eastAsia" w:ascii="仿宋" w:hAnsi="仿宋" w:eastAsia="仿宋" w:cs="仿宋"/>
                <w:lang w:val="en-US" w:eastAsia="zh-CN"/>
              </w:rPr>
              <w:br w:type="textWrapping"/>
            </w:r>
            <w:r>
              <w:rPr>
                <w:rFonts w:hint="eastAsia" w:ascii="仿宋" w:hAnsi="仿宋" w:eastAsia="仿宋" w:cs="仿宋"/>
                <w:lang w:val="en-US" w:eastAsia="zh-CN"/>
              </w:rPr>
              <w:t>技术参数</w:t>
            </w:r>
            <w:r>
              <w:rPr>
                <w:rFonts w:hint="eastAsia" w:ascii="仿宋" w:hAnsi="仿宋" w:eastAsia="仿宋" w:cs="仿宋"/>
                <w:lang w:val="en-US" w:eastAsia="zh-CN"/>
              </w:rPr>
              <w:br w:type="textWrapping"/>
            </w:r>
            <w:r>
              <w:rPr>
                <w:rFonts w:hint="eastAsia" w:ascii="仿宋" w:hAnsi="仿宋" w:eastAsia="仿宋" w:cs="仿宋"/>
                <w:lang w:val="en-US" w:eastAsia="zh-CN"/>
              </w:rPr>
              <w:t>10.杀菌因子：紫外线</w:t>
            </w:r>
            <w:r>
              <w:rPr>
                <w:rFonts w:hint="eastAsia" w:ascii="仿宋" w:hAnsi="仿宋" w:eastAsia="仿宋" w:cs="仿宋"/>
                <w:lang w:val="en-US" w:eastAsia="zh-CN"/>
              </w:rPr>
              <w:br w:type="textWrapping"/>
            </w:r>
            <w:r>
              <w:rPr>
                <w:rFonts w:hint="eastAsia" w:ascii="仿宋" w:hAnsi="仿宋" w:eastAsia="仿宋" w:cs="仿宋"/>
                <w:lang w:val="en-US" w:eastAsia="zh-CN"/>
              </w:rPr>
              <w:t>11.灯管功率：2*30W；输入功率：≤60W</w:t>
            </w:r>
            <w:r>
              <w:rPr>
                <w:rFonts w:hint="eastAsia" w:ascii="仿宋" w:hAnsi="仿宋" w:eastAsia="仿宋" w:cs="仿宋"/>
                <w:lang w:val="en-US" w:eastAsia="zh-CN"/>
              </w:rPr>
              <w:br w:type="textWrapping"/>
            </w:r>
            <w:r>
              <w:rPr>
                <w:rFonts w:hint="eastAsia" w:ascii="仿宋" w:hAnsi="仿宋" w:eastAsia="仿宋" w:cs="仿宋"/>
                <w:lang w:val="en-US" w:eastAsia="zh-CN"/>
              </w:rPr>
              <w:t>12.紫外线强度：（距离灯管1m中心处)121μW/cm²；</w:t>
            </w:r>
            <w:r>
              <w:rPr>
                <w:rFonts w:hint="eastAsia" w:ascii="仿宋" w:hAnsi="仿宋" w:eastAsia="仿宋" w:cs="仿宋"/>
                <w:lang w:val="en-US" w:eastAsia="zh-CN"/>
              </w:rPr>
              <w:br w:type="textWrapping"/>
            </w:r>
            <w:r>
              <w:rPr>
                <w:rFonts w:hint="eastAsia" w:ascii="仿宋" w:hAnsi="仿宋" w:eastAsia="仿宋" w:cs="仿宋"/>
                <w:lang w:val="en-US" w:eastAsia="zh-CN"/>
              </w:rPr>
              <w:t>13.消毒时间：0-120分钟可调；</w:t>
            </w:r>
            <w:r>
              <w:rPr>
                <w:rFonts w:hint="eastAsia" w:ascii="仿宋" w:hAnsi="仿宋" w:eastAsia="仿宋" w:cs="仿宋"/>
                <w:lang w:val="en-US" w:eastAsia="zh-CN"/>
              </w:rPr>
              <w:br w:type="textWrapping"/>
            </w:r>
            <w:r>
              <w:rPr>
                <w:rFonts w:hint="eastAsia" w:ascii="仿宋" w:hAnsi="仿宋" w:eastAsia="仿宋" w:cs="仿宋"/>
                <w:lang w:val="en-US" w:eastAsia="zh-CN"/>
              </w:rPr>
              <w:t>14.使用寿命：5000h；</w:t>
            </w:r>
            <w:r>
              <w:rPr>
                <w:rFonts w:hint="eastAsia" w:ascii="仿宋" w:hAnsi="仿宋" w:eastAsia="仿宋" w:cs="仿宋"/>
                <w:lang w:val="en-US" w:eastAsia="zh-CN"/>
              </w:rPr>
              <w:br w:type="textWrapping"/>
            </w:r>
            <w:r>
              <w:rPr>
                <w:rFonts w:hint="eastAsia" w:ascii="仿宋" w:hAnsi="仿宋" w:eastAsia="仿宋" w:cs="仿宋"/>
                <w:lang w:val="en-US" w:eastAsia="zh-CN"/>
              </w:rPr>
              <w:t>15.工作电源： 220V±22V 50HZ±1HZ；</w:t>
            </w:r>
            <w:r>
              <w:rPr>
                <w:rFonts w:hint="eastAsia" w:ascii="仿宋" w:hAnsi="仿宋" w:eastAsia="仿宋" w:cs="仿宋"/>
                <w:lang w:val="en-US" w:eastAsia="zh-CN"/>
              </w:rPr>
              <w:br w:type="textWrapping"/>
            </w:r>
            <w:r>
              <w:rPr>
                <w:rFonts w:hint="eastAsia" w:ascii="仿宋" w:hAnsi="仿宋" w:eastAsia="仿宋" w:cs="仿宋"/>
                <w:lang w:val="en-US" w:eastAsia="zh-CN"/>
              </w:rPr>
              <w:t>16.距离紫外线灯1m 处玻片上金黄色葡萄球菌，大肠杆菌，铜绿假单胞菌的杀灭对数值均＞3.00，符合GB28235-2020紫外线消毒器卫生要求；</w:t>
            </w:r>
            <w:r>
              <w:rPr>
                <w:rFonts w:hint="eastAsia" w:ascii="仿宋" w:hAnsi="仿宋" w:eastAsia="仿宋" w:cs="仿宋"/>
                <w:lang w:val="en-US" w:eastAsia="zh-CN"/>
              </w:rPr>
              <w:br w:type="textWrapping"/>
            </w:r>
            <w:r>
              <w:rPr>
                <w:rFonts w:hint="eastAsia" w:ascii="仿宋" w:hAnsi="仿宋" w:eastAsia="仿宋" w:cs="仿宋"/>
                <w:lang w:val="en-US" w:eastAsia="zh-CN"/>
              </w:rPr>
              <w:t>17.对距离紫外灯1m处物表表面自然菌杀灭对数值＞1.00。</w:t>
            </w:r>
          </w:p>
          <w:p>
            <w:pPr>
              <w:pStyle w:val="2"/>
              <w:keepNext w:val="0"/>
              <w:keepLines w:val="0"/>
              <w:pageBreakBefore w:val="0"/>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lang w:val="en-US" w:eastAsia="zh-CN"/>
              </w:rPr>
              <w:t>使用年限：≥6年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9"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17</w:t>
            </w:r>
          </w:p>
        </w:tc>
        <w:tc>
          <w:tcPr>
            <w:tcW w:w="534" w:type="pct"/>
            <w:noWrap w:val="0"/>
            <w:vAlign w:val="center"/>
          </w:tcPr>
          <w:p>
            <w:pPr>
              <w:tabs>
                <w:tab w:val="left" w:pos="180"/>
                <w:tab w:val="left" w:pos="1620"/>
              </w:tabs>
              <w:adjustRightInd w:val="0"/>
              <w:snapToGrid w:val="0"/>
              <w:spacing w:line="360" w:lineRule="exact"/>
              <w:jc w:val="center"/>
              <w:rPr>
                <w:rStyle w:val="26"/>
                <w:lang w:val="en-US" w:eastAsia="zh-CN" w:bidi="ar"/>
              </w:rPr>
            </w:pPr>
            <w:r>
              <w:rPr>
                <w:rFonts w:hint="eastAsia" w:ascii="仿宋" w:hAnsi="仿宋" w:eastAsia="仿宋" w:cs="仿宋"/>
                <w:i w:val="0"/>
                <w:iCs w:val="0"/>
                <w:color w:val="000000"/>
                <w:kern w:val="0"/>
                <w:sz w:val="20"/>
                <w:szCs w:val="20"/>
                <w:u w:val="none"/>
                <w:lang w:val="en-US" w:eastAsia="zh-CN" w:bidi="ar"/>
              </w:rPr>
              <w:t>等离子移动式空气消毒机</w:t>
            </w:r>
          </w:p>
        </w:tc>
        <w:tc>
          <w:tcPr>
            <w:tcW w:w="481"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1台</w:t>
            </w:r>
          </w:p>
        </w:tc>
        <w:tc>
          <w:tcPr>
            <w:tcW w:w="3187" w:type="pct"/>
            <w:noWrap w:val="0"/>
            <w:vAlign w:val="center"/>
          </w:tcPr>
          <w:p>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80" w:lineRule="exact"/>
              <w:jc w:val="both"/>
              <w:textAlignment w:val="baseline"/>
              <w:rPr>
                <w:rFonts w:hint="eastAsia" w:ascii="仿宋" w:hAnsi="仿宋" w:eastAsia="仿宋" w:cs="仿宋"/>
                <w:lang w:val="en-US" w:eastAsia="zh-CN"/>
              </w:rPr>
            </w:pPr>
            <w:r>
              <w:rPr>
                <w:rFonts w:hint="eastAsia" w:ascii="仿宋" w:hAnsi="仿宋" w:eastAsia="仿宋" w:cs="仿宋"/>
                <w:lang w:val="en-US" w:eastAsia="zh-CN"/>
              </w:rPr>
              <w:t>技术参数：</w:t>
            </w:r>
            <w:r>
              <w:rPr>
                <w:rFonts w:hint="eastAsia" w:ascii="仿宋" w:hAnsi="仿宋" w:eastAsia="仿宋" w:cs="仿宋"/>
                <w:lang w:val="en-US" w:eastAsia="zh-CN"/>
              </w:rPr>
              <w:br w:type="textWrapping"/>
            </w:r>
            <w:r>
              <w:rPr>
                <w:rFonts w:hint="eastAsia" w:ascii="仿宋" w:hAnsi="仿宋" w:eastAsia="仿宋" w:cs="仿宋"/>
                <w:lang w:val="en-US" w:eastAsia="zh-CN"/>
              </w:rPr>
              <w:t>1、移动式，外观尺寸：340×430×970mm。</w:t>
            </w:r>
            <w:r>
              <w:rPr>
                <w:rFonts w:hint="eastAsia" w:ascii="仿宋" w:hAnsi="仿宋" w:eastAsia="仿宋" w:cs="仿宋"/>
                <w:lang w:val="en-US" w:eastAsia="zh-CN"/>
              </w:rPr>
              <w:br w:type="textWrapping"/>
            </w:r>
            <w:r>
              <w:rPr>
                <w:rFonts w:hint="eastAsia" w:ascii="仿宋" w:hAnsi="仿宋" w:eastAsia="仿宋" w:cs="仿宋"/>
                <w:lang w:val="en-US" w:eastAsia="zh-CN"/>
              </w:rPr>
              <w:t>2、适用体积：≤120m³。</w:t>
            </w:r>
            <w:r>
              <w:rPr>
                <w:rFonts w:hint="eastAsia" w:ascii="仿宋" w:hAnsi="仿宋" w:eastAsia="仿宋" w:cs="仿宋"/>
                <w:lang w:val="en-US" w:eastAsia="zh-CN"/>
              </w:rPr>
              <w:br w:type="textWrapping"/>
            </w:r>
            <w:r>
              <w:rPr>
                <w:rFonts w:hint="eastAsia" w:ascii="仿宋" w:hAnsi="仿宋" w:eastAsia="仿宋" w:cs="仿宋"/>
                <w:lang w:val="en-US" w:eastAsia="zh-CN"/>
              </w:rPr>
              <w:t>3、循环消毒风量：≥1200m³/h。</w:t>
            </w:r>
            <w:r>
              <w:rPr>
                <w:rFonts w:hint="eastAsia" w:ascii="仿宋" w:hAnsi="仿宋" w:eastAsia="仿宋" w:cs="仿宋"/>
                <w:lang w:val="en-US" w:eastAsia="zh-CN"/>
              </w:rPr>
              <w:br w:type="textWrapping"/>
            </w:r>
            <w:r>
              <w:rPr>
                <w:rFonts w:hint="eastAsia" w:ascii="仿宋" w:hAnsi="仿宋" w:eastAsia="仿宋" w:cs="仿宋"/>
                <w:lang w:val="en-US" w:eastAsia="zh-CN"/>
              </w:rPr>
              <w:t>▲4、采用1至13000V可调高压静电场吸附除尘、杀菌、消毒、除异味。</w:t>
            </w:r>
            <w:r>
              <w:rPr>
                <w:rFonts w:hint="eastAsia" w:ascii="仿宋" w:hAnsi="仿宋" w:eastAsia="仿宋" w:cs="仿宋"/>
                <w:lang w:val="en-US" w:eastAsia="zh-CN"/>
              </w:rPr>
              <w:br w:type="textWrapping"/>
            </w:r>
            <w:r>
              <w:rPr>
                <w:rFonts w:hint="eastAsia" w:ascii="仿宋" w:hAnsi="仿宋" w:eastAsia="仿宋" w:cs="仿宋"/>
                <w:lang w:val="en-US" w:eastAsia="zh-CN"/>
              </w:rPr>
              <w:t>5、等离子体发生器和等离子体机芯使用寿命≥30000小时。</w:t>
            </w:r>
            <w:r>
              <w:rPr>
                <w:rFonts w:hint="eastAsia" w:ascii="仿宋" w:hAnsi="仿宋" w:eastAsia="仿宋" w:cs="仿宋"/>
                <w:lang w:val="en-US" w:eastAsia="zh-CN"/>
              </w:rPr>
              <w:br w:type="textWrapping"/>
            </w:r>
            <w:r>
              <w:rPr>
                <w:rFonts w:hint="eastAsia" w:ascii="仿宋" w:hAnsi="仿宋" w:eastAsia="仿宋" w:cs="仿宋"/>
                <w:lang w:val="en-US" w:eastAsia="zh-CN"/>
              </w:rPr>
              <w:t>6、等离子体密度值为1.28×1017～6.36×1017m³.</w:t>
            </w:r>
            <w:r>
              <w:rPr>
                <w:rFonts w:hint="eastAsia" w:ascii="仿宋" w:hAnsi="仿宋" w:eastAsia="仿宋" w:cs="仿宋"/>
                <w:lang w:val="en-US" w:eastAsia="zh-CN"/>
              </w:rPr>
              <w:br w:type="textWrapping"/>
            </w:r>
            <w:r>
              <w:rPr>
                <w:rFonts w:hint="eastAsia" w:ascii="仿宋" w:hAnsi="仿宋" w:eastAsia="仿宋" w:cs="仿宋"/>
                <w:lang w:val="en-US" w:eastAsia="zh-CN"/>
              </w:rPr>
              <w:t>7、消毒后细菌总量≤150cfu/m3</w:t>
            </w:r>
            <w:r>
              <w:rPr>
                <w:rFonts w:hint="eastAsia" w:ascii="仿宋" w:hAnsi="仿宋" w:eastAsia="仿宋" w:cs="仿宋"/>
                <w:lang w:val="en-US" w:eastAsia="zh-CN"/>
              </w:rPr>
              <w:br w:type="textWrapping"/>
            </w:r>
            <w:r>
              <w:rPr>
                <w:rFonts w:hint="eastAsia" w:ascii="仿宋" w:hAnsi="仿宋" w:eastAsia="仿宋" w:cs="仿宋"/>
                <w:lang w:val="en-US" w:eastAsia="zh-CN"/>
              </w:rPr>
              <w:t>8、消毒时空气中臭氧浓度：≤0.16mg/m³。</w:t>
            </w:r>
            <w:r>
              <w:rPr>
                <w:rFonts w:hint="eastAsia" w:ascii="仿宋" w:hAnsi="仿宋" w:eastAsia="仿宋" w:cs="仿宋"/>
                <w:lang w:val="en-US" w:eastAsia="zh-CN"/>
              </w:rPr>
              <w:br w:type="textWrapping"/>
            </w:r>
            <w:r>
              <w:rPr>
                <w:rFonts w:hint="eastAsia" w:ascii="仿宋" w:hAnsi="仿宋" w:eastAsia="仿宋" w:cs="仿宋"/>
                <w:lang w:val="en-US" w:eastAsia="zh-CN"/>
              </w:rPr>
              <w:t>▲9、负离子发生量：≥2.15×107个/cm3。</w:t>
            </w:r>
            <w:r>
              <w:rPr>
                <w:rFonts w:hint="eastAsia" w:ascii="仿宋" w:hAnsi="仿宋" w:eastAsia="仿宋" w:cs="仿宋"/>
                <w:lang w:val="en-US" w:eastAsia="zh-CN"/>
              </w:rPr>
              <w:br w:type="textWrapping"/>
            </w:r>
            <w:r>
              <w:rPr>
                <w:rFonts w:hint="eastAsia" w:ascii="仿宋" w:hAnsi="仿宋" w:eastAsia="仿宋" w:cs="仿宋"/>
                <w:lang w:val="en-US" w:eastAsia="zh-CN"/>
              </w:rPr>
              <w:t>10、120m³空间消毒120min对空气中自然菌的杀灭率≥90%；20m³空间消毒20min对空气中白葡萄球菌杀灭率≥99.90%</w:t>
            </w:r>
            <w:r>
              <w:rPr>
                <w:rFonts w:hint="eastAsia" w:ascii="仿宋" w:hAnsi="仿宋" w:eastAsia="仿宋" w:cs="仿宋"/>
                <w:lang w:val="en-US" w:eastAsia="zh-CN"/>
              </w:rPr>
              <w:br w:type="textWrapping"/>
            </w:r>
            <w:r>
              <w:rPr>
                <w:rFonts w:hint="eastAsia" w:ascii="仿宋" w:hAnsi="仿宋" w:eastAsia="仿宋" w:cs="仿宋"/>
                <w:lang w:val="en-US" w:eastAsia="zh-CN"/>
              </w:rPr>
              <w:t xml:space="preserve">11、额定电压：AC 220V±22V，消毒功率：≤180W，额定频率：50Hz±1Hz，噪音：≤60dB </w:t>
            </w:r>
            <w:r>
              <w:rPr>
                <w:rFonts w:hint="eastAsia" w:ascii="仿宋" w:hAnsi="仿宋" w:eastAsia="仿宋" w:cs="仿宋"/>
                <w:lang w:val="en-US" w:eastAsia="zh-CN"/>
              </w:rPr>
              <w:br w:type="textWrapping"/>
            </w:r>
            <w:r>
              <w:rPr>
                <w:rFonts w:hint="eastAsia" w:ascii="仿宋" w:hAnsi="仿宋" w:eastAsia="仿宋" w:cs="仿宋"/>
                <w:lang w:val="en-US" w:eastAsia="zh-CN"/>
              </w:rPr>
              <w:t xml:space="preserve">性能特点： </w:t>
            </w:r>
            <w:r>
              <w:rPr>
                <w:rFonts w:hint="eastAsia" w:ascii="仿宋" w:hAnsi="仿宋" w:eastAsia="仿宋" w:cs="仿宋"/>
                <w:lang w:val="en-US" w:eastAsia="zh-CN"/>
              </w:rPr>
              <w:br w:type="textWrapping"/>
            </w:r>
            <w:r>
              <w:rPr>
                <w:rFonts w:hint="eastAsia" w:ascii="仿宋" w:hAnsi="仿宋" w:eastAsia="仿宋" w:cs="仿宋"/>
                <w:lang w:val="en-US" w:eastAsia="zh-CN"/>
              </w:rPr>
              <w:t>12、等离子发生器、电机、负氧离子故障自动检测故障提示、具有消毒及风量加强功能。</w:t>
            </w:r>
            <w:r>
              <w:rPr>
                <w:rFonts w:hint="eastAsia" w:ascii="仿宋" w:hAnsi="仿宋" w:eastAsia="仿宋" w:cs="仿宋"/>
                <w:lang w:val="en-US" w:eastAsia="zh-CN"/>
              </w:rPr>
              <w:br w:type="textWrapping"/>
            </w:r>
            <w:r>
              <w:rPr>
                <w:rFonts w:hint="eastAsia" w:ascii="仿宋" w:hAnsi="仿宋" w:eastAsia="仿宋" w:cs="仿宋"/>
                <w:lang w:val="en-US" w:eastAsia="zh-CN"/>
              </w:rPr>
              <w:t>13、程控、遥控、按键多控消毒运行，按键采用实体红外线遥控操作，具有程控定时功能.</w:t>
            </w:r>
            <w:r>
              <w:rPr>
                <w:rFonts w:hint="eastAsia" w:ascii="仿宋" w:hAnsi="仿宋" w:eastAsia="仿宋" w:cs="仿宋"/>
                <w:lang w:val="en-US" w:eastAsia="zh-CN"/>
              </w:rPr>
              <w:br w:type="textWrapping"/>
            </w:r>
            <w:r>
              <w:rPr>
                <w:rFonts w:hint="eastAsia" w:ascii="仿宋" w:hAnsi="仿宋" w:eastAsia="仿宋" w:cs="仿宋"/>
                <w:lang w:val="en-US" w:eastAsia="zh-CN"/>
              </w:rPr>
              <w:t>14、消毒可设置六个时间段，时间可任意设置。</w:t>
            </w:r>
            <w:r>
              <w:rPr>
                <w:rFonts w:hint="eastAsia" w:ascii="仿宋" w:hAnsi="仿宋" w:eastAsia="仿宋" w:cs="仿宋"/>
                <w:lang w:val="en-US" w:eastAsia="zh-CN"/>
              </w:rPr>
              <w:br w:type="textWrapping"/>
            </w:r>
            <w:r>
              <w:rPr>
                <w:rFonts w:hint="eastAsia" w:ascii="仿宋" w:hAnsi="仿宋" w:eastAsia="仿宋" w:cs="仿宋"/>
                <w:lang w:val="en-US" w:eastAsia="zh-CN"/>
              </w:rPr>
              <w:t>▲15、出风口工作时自动开启，关机自动关闭。</w:t>
            </w:r>
            <w:r>
              <w:rPr>
                <w:rFonts w:hint="eastAsia" w:ascii="仿宋" w:hAnsi="仿宋" w:eastAsia="仿宋" w:cs="仿宋"/>
                <w:lang w:val="en-US" w:eastAsia="zh-CN"/>
              </w:rPr>
              <w:br w:type="textWrapping"/>
            </w:r>
            <w:r>
              <w:rPr>
                <w:rFonts w:hint="eastAsia" w:ascii="仿宋" w:hAnsi="仿宋" w:eastAsia="仿宋" w:cs="仿宋"/>
                <w:lang w:val="en-US" w:eastAsia="zh-CN"/>
              </w:rPr>
              <w:t>16、工作时自动横向循环扫风，快速循环消毒室内空气。</w:t>
            </w:r>
            <w:r>
              <w:rPr>
                <w:rFonts w:hint="eastAsia" w:ascii="仿宋" w:hAnsi="仿宋" w:eastAsia="仿宋" w:cs="仿宋"/>
                <w:lang w:val="en-US" w:eastAsia="zh-CN"/>
              </w:rPr>
              <w:br w:type="textWrapping"/>
            </w:r>
            <w:r>
              <w:rPr>
                <w:rFonts w:hint="eastAsia" w:ascii="仿宋" w:hAnsi="仿宋" w:eastAsia="仿宋" w:cs="仿宋"/>
                <w:lang w:val="en-US" w:eastAsia="zh-CN"/>
              </w:rPr>
              <w:t>17、使用初中效活性炭网除臭等辅助消毒手段。</w:t>
            </w:r>
            <w:r>
              <w:rPr>
                <w:rFonts w:hint="eastAsia" w:ascii="仿宋" w:hAnsi="仿宋" w:eastAsia="仿宋" w:cs="仿宋"/>
                <w:lang w:val="en-US" w:eastAsia="zh-CN"/>
              </w:rPr>
              <w:br w:type="textWrapping"/>
            </w:r>
            <w:r>
              <w:rPr>
                <w:rFonts w:hint="eastAsia" w:ascii="仿宋" w:hAnsi="仿宋" w:eastAsia="仿宋" w:cs="仿宋"/>
                <w:lang w:val="en-US" w:eastAsia="zh-CN"/>
              </w:rPr>
              <w:t>18、独立外观设计，整机尺寸小巧方便，外设防滑扶手，推拉移动自如。</w:t>
            </w:r>
            <w:r>
              <w:rPr>
                <w:rFonts w:hint="eastAsia" w:ascii="仿宋" w:hAnsi="仿宋" w:eastAsia="仿宋" w:cs="仿宋"/>
                <w:lang w:val="en-US" w:eastAsia="zh-CN"/>
              </w:rPr>
              <w:br w:type="textWrapping"/>
            </w:r>
            <w:r>
              <w:rPr>
                <w:rFonts w:hint="eastAsia" w:ascii="仿宋" w:hAnsi="仿宋" w:eastAsia="仿宋" w:cs="仿宋"/>
                <w:lang w:val="en-US" w:eastAsia="zh-CN"/>
              </w:rPr>
              <w:t>19、手动设置消毒时间自动记忆、具有工作时间累积计时功能。</w:t>
            </w:r>
            <w:r>
              <w:rPr>
                <w:rFonts w:hint="eastAsia" w:ascii="仿宋" w:hAnsi="仿宋" w:eastAsia="仿宋" w:cs="仿宋"/>
                <w:lang w:val="en-US" w:eastAsia="zh-CN"/>
              </w:rPr>
              <w:br w:type="textWrapping"/>
            </w:r>
            <w:r>
              <w:rPr>
                <w:rFonts w:hint="eastAsia" w:ascii="仿宋" w:hAnsi="仿宋" w:eastAsia="仿宋" w:cs="仿宋"/>
                <w:lang w:val="en-US" w:eastAsia="zh-CN"/>
              </w:rPr>
              <w:t>▲20、全国消毒产品备案网备案通过，具备消毒产品安全评价报告</w:t>
            </w:r>
          </w:p>
          <w:p>
            <w:pPr>
              <w:pStyle w:val="2"/>
              <w:keepNext w:val="0"/>
              <w:keepLines w:val="0"/>
              <w:pageBreakBefore w:val="0"/>
              <w:wordWrap/>
              <w:overflowPunct/>
              <w:topLinePunct w:val="0"/>
              <w:bidi w:val="0"/>
              <w:spacing w:line="380" w:lineRule="exact"/>
              <w:rPr>
                <w:rFonts w:hint="eastAsia" w:ascii="仿宋" w:hAnsi="仿宋" w:eastAsia="仿宋" w:cs="仿宋"/>
                <w:lang w:val="en-US" w:eastAsia="zh-CN"/>
              </w:rPr>
            </w:pPr>
            <w:r>
              <w:rPr>
                <w:rFonts w:hint="eastAsia" w:ascii="仿宋" w:hAnsi="仿宋" w:eastAsia="仿宋" w:cs="仿宋"/>
                <w:lang w:val="en-US" w:eastAsia="zh-CN"/>
              </w:rPr>
              <w:t>使用年限：≥6年</w:t>
            </w:r>
          </w:p>
        </w:tc>
        <w:tc>
          <w:tcPr>
            <w:tcW w:w="487" w:type="pct"/>
            <w:noWrap w:val="0"/>
            <w:vAlign w:val="center"/>
          </w:tcPr>
          <w:p>
            <w:pPr>
              <w:tabs>
                <w:tab w:val="left" w:pos="180"/>
                <w:tab w:val="left" w:pos="1620"/>
              </w:tabs>
              <w:adjustRightInd w:val="0"/>
              <w:snapToGrid w:val="0"/>
              <w:spacing w:line="360" w:lineRule="exact"/>
              <w:jc w:val="center"/>
              <w:rPr>
                <w:rFonts w:hint="default"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noWrap w:val="0"/>
            <w:vAlign w:val="center"/>
          </w:tcPr>
          <w:p>
            <w:pPr>
              <w:spacing w:line="340" w:lineRule="exact"/>
              <w:rPr>
                <w:rFonts w:hint="eastAsia" w:ascii="仿宋" w:hAnsi="仿宋" w:eastAsia="仿宋" w:cs="仿宋"/>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noWrap w:val="0"/>
            <w:vAlign w:val="top"/>
          </w:tcPr>
          <w:p>
            <w:pPr>
              <w:adjustRightInd w:val="0"/>
              <w:snapToGrid w:val="0"/>
              <w:spacing w:line="360" w:lineRule="exact"/>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eastAsia="zh-CN"/>
              </w:rPr>
              <w:t>★</w:t>
            </w:r>
            <w:r>
              <w:rPr>
                <w:rFonts w:hint="eastAsia" w:ascii="仿宋" w:hAnsi="仿宋" w:eastAsia="仿宋" w:cs="仿宋"/>
                <w:b/>
                <w:color w:val="auto"/>
                <w:sz w:val="21"/>
                <w:szCs w:val="21"/>
                <w:highlight w:val="none"/>
                <w:lang w:eastAsia="zh-Hans"/>
              </w:rPr>
              <w:t>二</w:t>
            </w:r>
            <w:r>
              <w:rPr>
                <w:rFonts w:hint="eastAsia" w:ascii="仿宋" w:hAnsi="仿宋" w:eastAsia="仿宋" w:cs="仿宋"/>
                <w:b/>
                <w:color w:val="auto"/>
                <w:sz w:val="21"/>
                <w:szCs w:val="21"/>
                <w:highlight w:val="none"/>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adjustRightInd w:val="0"/>
              <w:snapToGrid w:val="0"/>
              <w:spacing w:line="340" w:lineRule="exact"/>
              <w:jc w:val="center"/>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（一）售后服务要求</w:t>
            </w:r>
          </w:p>
        </w:tc>
        <w:tc>
          <w:tcPr>
            <w:tcW w:w="3674" w:type="pct"/>
            <w:gridSpan w:val="2"/>
            <w:noWrap w:val="0"/>
            <w:vAlign w:val="top"/>
          </w:tcPr>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投标人提供的以下售后服务均应包含在投标报价中，招标人不再就此另行支付任何费用：</w:t>
            </w:r>
          </w:p>
          <w:p>
            <w:pPr>
              <w:numPr>
                <w:ilvl w:val="0"/>
                <w:numId w:val="6"/>
              </w:num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按国家有关产品“三包”规定执行“三包”。</w:t>
            </w:r>
          </w:p>
          <w:p>
            <w:pPr>
              <w:numPr>
                <w:ilvl w:val="0"/>
                <w:numId w:val="6"/>
              </w:num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保修期：不得少于</w:t>
            </w:r>
            <w:r>
              <w:rPr>
                <w:rFonts w:hint="eastAsia" w:ascii="仿宋" w:hAnsi="仿宋" w:eastAsia="仿宋" w:cs="仿宋"/>
                <w:b/>
                <w:bCs w:val="0"/>
                <w:color w:val="auto"/>
                <w:sz w:val="21"/>
                <w:szCs w:val="21"/>
                <w:highlight w:val="none"/>
                <w:lang w:val="en-US" w:eastAsia="zh-CN"/>
              </w:rPr>
              <w:t>3</w:t>
            </w:r>
            <w:r>
              <w:rPr>
                <w:rFonts w:hint="eastAsia" w:ascii="仿宋" w:hAnsi="仿宋" w:eastAsia="仿宋" w:cs="仿宋"/>
                <w:b/>
                <w:bCs w:val="0"/>
                <w:color w:val="auto"/>
                <w:sz w:val="21"/>
                <w:szCs w:val="21"/>
                <w:highlight w:val="none"/>
              </w:rPr>
              <w:t>年（从验收合格之日起计算）。</w:t>
            </w:r>
          </w:p>
          <w:p>
            <w:pPr>
              <w:keepNext w:val="0"/>
              <w:keepLines w:val="0"/>
              <w:pageBreakBefore w:val="0"/>
              <w:kinsoku/>
              <w:wordWrap w:val="0"/>
              <w:overflowPunct/>
              <w:topLinePunct w:val="0"/>
              <w:autoSpaceDE/>
              <w:autoSpaceDN/>
              <w:bidi w:val="0"/>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lang w:val="en-US" w:eastAsia="zh-CN"/>
              </w:rPr>
              <w:t>2.</w:t>
            </w:r>
            <w:r>
              <w:rPr>
                <w:rFonts w:hint="eastAsia" w:ascii="仿宋" w:hAnsi="仿宋" w:eastAsia="仿宋" w:cs="仿宋"/>
                <w:b/>
                <w:bCs w:val="0"/>
                <w:color w:val="auto"/>
                <w:sz w:val="21"/>
                <w:szCs w:val="21"/>
                <w:highlight w:val="none"/>
                <w:lang w:eastAsia="zh-CN"/>
              </w:rPr>
              <w:t>招标</w:t>
            </w:r>
            <w:r>
              <w:rPr>
                <w:rFonts w:hint="eastAsia" w:ascii="仿宋" w:hAnsi="仿宋" w:eastAsia="仿宋" w:cs="仿宋"/>
                <w:b/>
                <w:bCs w:val="0"/>
                <w:color w:val="auto"/>
                <w:sz w:val="21"/>
                <w:szCs w:val="21"/>
                <w:highlight w:val="none"/>
              </w:rPr>
              <w:t>范围内的货物提供送货上门、安装调试合格；保修期内提供上门维修以及更换零配件服务。如果需要更换配件的，要求更换的配件应</w:t>
            </w:r>
            <w:r>
              <w:rPr>
                <w:rFonts w:hint="eastAsia" w:ascii="仿宋" w:hAnsi="仿宋" w:eastAsia="仿宋" w:cs="仿宋"/>
                <w:b/>
                <w:bCs w:val="0"/>
                <w:color w:val="auto"/>
                <w:sz w:val="21"/>
                <w:szCs w:val="21"/>
                <w:highlight w:val="none"/>
                <w:lang w:eastAsia="zh-CN"/>
              </w:rPr>
              <w:t>与</w:t>
            </w:r>
            <w:r>
              <w:rPr>
                <w:rFonts w:hint="eastAsia" w:ascii="仿宋" w:hAnsi="仿宋" w:eastAsia="仿宋" w:cs="仿宋"/>
                <w:b/>
                <w:bCs w:val="0"/>
                <w:color w:val="auto"/>
                <w:sz w:val="21"/>
                <w:szCs w:val="21"/>
                <w:highlight w:val="none"/>
              </w:rPr>
              <w:t>更换的品牌、类型相一致或者是同类同档次的替代品，后者需征得</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同意。保修期内提供技术培训服务，保证</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使用人员正常操作产品的各种功能。</w:t>
            </w:r>
          </w:p>
          <w:p>
            <w:pPr>
              <w:keepNext w:val="0"/>
              <w:keepLines w:val="0"/>
              <w:pageBreakBefore w:val="0"/>
              <w:kinsoku/>
              <w:wordWrap w:val="0"/>
              <w:overflowPunct/>
              <w:topLinePunct w:val="0"/>
              <w:autoSpaceDE/>
              <w:autoSpaceDN/>
              <w:bidi w:val="0"/>
              <w:spacing w:line="340" w:lineRule="exact"/>
              <w:jc w:val="lef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lang w:val="en-US" w:eastAsia="zh-CN"/>
              </w:rPr>
              <w:t>3.</w:t>
            </w:r>
            <w:r>
              <w:rPr>
                <w:rFonts w:hint="eastAsia" w:ascii="仿宋" w:hAnsi="仿宋" w:eastAsia="仿宋" w:cs="仿宋"/>
                <w:b/>
                <w:bCs w:val="0"/>
                <w:color w:val="auto"/>
                <w:sz w:val="21"/>
                <w:szCs w:val="21"/>
                <w:highlight w:val="none"/>
              </w:rPr>
              <w:t>保修期内接到报障电话应在2小时内给予响应，需要现场维修的，应在8个小时内到达故障现场；一般问题应在到达后2小时内解决，重大问题或其他无法迅速解决的问题应在48小时内解决。</w:t>
            </w:r>
          </w:p>
          <w:p>
            <w:pPr>
              <w:keepNext w:val="0"/>
              <w:keepLines w:val="0"/>
              <w:pageBreakBefore w:val="0"/>
              <w:kinsoku/>
              <w:wordWrap w:val="0"/>
              <w:overflowPunct/>
              <w:topLinePunct w:val="0"/>
              <w:autoSpaceDE/>
              <w:autoSpaceDN/>
              <w:bidi w:val="0"/>
              <w:spacing w:line="340" w:lineRule="exact"/>
              <w:jc w:val="lef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lang w:val="en-US" w:eastAsia="zh-CN"/>
              </w:rPr>
              <w:t>4.</w:t>
            </w:r>
            <w:r>
              <w:rPr>
                <w:rFonts w:hint="eastAsia" w:ascii="仿宋" w:hAnsi="仿宋" w:eastAsia="仿宋" w:cs="仿宋"/>
                <w:b/>
                <w:bCs w:val="0"/>
                <w:color w:val="auto"/>
                <w:sz w:val="21"/>
                <w:szCs w:val="21"/>
                <w:highlight w:val="none"/>
              </w:rPr>
              <w:t>若产品自带软件的，则须提供保修期内提供软件升级服务。</w:t>
            </w:r>
          </w:p>
          <w:p>
            <w:pPr>
              <w:keepNext w:val="0"/>
              <w:keepLines w:val="0"/>
              <w:pageBreakBefore w:val="0"/>
              <w:kinsoku/>
              <w:wordWrap w:val="0"/>
              <w:overflowPunct/>
              <w:topLinePunct w:val="0"/>
              <w:autoSpaceDE/>
              <w:autoSpaceDN/>
              <w:bidi w:val="0"/>
              <w:spacing w:line="340" w:lineRule="exact"/>
              <w:jc w:val="lef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lang w:val="en-US" w:eastAsia="zh-CN"/>
              </w:rPr>
              <w:t>5.</w:t>
            </w:r>
            <w:r>
              <w:rPr>
                <w:rFonts w:hint="eastAsia" w:ascii="仿宋" w:hAnsi="仿宋" w:eastAsia="仿宋" w:cs="仿宋"/>
                <w:b/>
                <w:bCs w:val="0"/>
                <w:color w:val="auto"/>
                <w:sz w:val="21"/>
                <w:szCs w:val="21"/>
                <w:highlight w:val="none"/>
              </w:rPr>
              <w:t>在保修期内因货物本身的质量问题发生故障，中标人应负责修理和更换零部件。对达不到技术要求者，根据实际情况，经双方协商，可按以下办法处理：</w:t>
            </w:r>
          </w:p>
          <w:p>
            <w:pPr>
              <w:keepNext w:val="0"/>
              <w:keepLines w:val="0"/>
              <w:pageBreakBefore w:val="0"/>
              <w:kinsoku/>
              <w:wordWrap w:val="0"/>
              <w:overflowPunct/>
              <w:topLinePunct w:val="0"/>
              <w:autoSpaceDE/>
              <w:autoSpaceDN/>
              <w:bidi w:val="0"/>
              <w:spacing w:line="340" w:lineRule="exact"/>
              <w:jc w:val="lef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①更换：由中标人承担所有发生的全部费用。</w:t>
            </w:r>
          </w:p>
          <w:p>
            <w:pPr>
              <w:adjustRightInd w:val="0"/>
              <w:snapToGrid w:val="0"/>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②退货处理：中标人应退还</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支付的合同款，同时应承担该货物的直接费用（运输、保险、检验、贷款利息及银行手续费等）。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（二）标的交付</w:t>
            </w:r>
          </w:p>
        </w:tc>
        <w:tc>
          <w:tcPr>
            <w:tcW w:w="3674" w:type="pct"/>
            <w:gridSpan w:val="2"/>
            <w:noWrap w:val="0"/>
            <w:vAlign w:val="top"/>
          </w:tcPr>
          <w:p>
            <w:pPr>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1.交付时间：自合同签订之日起</w:t>
            </w:r>
            <w:r>
              <w:rPr>
                <w:rFonts w:hint="eastAsia" w:ascii="仿宋" w:hAnsi="仿宋" w:eastAsia="仿宋" w:cs="仿宋"/>
                <w:b/>
                <w:bCs w:val="0"/>
                <w:color w:val="auto"/>
                <w:sz w:val="21"/>
                <w:szCs w:val="21"/>
                <w:highlight w:val="none"/>
                <w:u w:val="single"/>
                <w:lang w:val="en-US" w:eastAsia="zh-CN"/>
              </w:rPr>
              <w:t>20</w:t>
            </w:r>
            <w:r>
              <w:rPr>
                <w:rFonts w:hint="eastAsia" w:ascii="仿宋" w:hAnsi="仿宋" w:eastAsia="仿宋" w:cs="仿宋"/>
                <w:b/>
                <w:bCs w:val="0"/>
                <w:color w:val="auto"/>
                <w:sz w:val="21"/>
                <w:szCs w:val="21"/>
                <w:highlight w:val="none"/>
              </w:rPr>
              <w:t>个日历日内安装调试完成并验收合格交付使用。</w:t>
            </w:r>
          </w:p>
          <w:p>
            <w:pPr>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2.交付地点：广西桂林市内招标人指定地点。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（三）付款方式</w:t>
            </w:r>
          </w:p>
        </w:tc>
        <w:tc>
          <w:tcPr>
            <w:tcW w:w="3674" w:type="pct"/>
            <w:gridSpan w:val="2"/>
            <w:noWrap w:val="0"/>
            <w:vAlign w:val="center"/>
          </w:tcPr>
          <w:p>
            <w:pPr>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lang w:val="en-US" w:eastAsia="zh-CN"/>
              </w:rPr>
              <w:t>验收合格后，乙方开具合法有效的增值税普通发票给甲方，甲方在验收合格后支付合同金额95%，剩余5%金额在质保期结束后支付（无息）。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adjustRightInd w:val="0"/>
              <w:snapToGrid w:val="0"/>
              <w:spacing w:line="340" w:lineRule="exact"/>
              <w:jc w:val="center"/>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（四）包装和运输</w:t>
            </w:r>
          </w:p>
        </w:tc>
        <w:tc>
          <w:tcPr>
            <w:tcW w:w="3674" w:type="pct"/>
            <w:gridSpan w:val="2"/>
            <w:noWrap w:val="0"/>
            <w:vAlign w:val="center"/>
          </w:tcPr>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1.</w:t>
            </w:r>
            <w:r>
              <w:rPr>
                <w:rFonts w:hint="eastAsia" w:ascii="仿宋" w:hAnsi="仿宋" w:eastAsia="仿宋" w:cs="仿宋"/>
                <w:b/>
                <w:bCs w:val="0"/>
                <w:color w:val="auto"/>
                <w:sz w:val="21"/>
                <w:szCs w:val="21"/>
                <w:highlight w:val="none"/>
                <w:lang w:eastAsia="zh-CN"/>
              </w:rPr>
              <w:t>中标人</w:t>
            </w:r>
            <w:r>
              <w:rPr>
                <w:rFonts w:hint="eastAsia" w:ascii="仿宋" w:hAnsi="仿宋" w:eastAsia="仿宋" w:cs="仿宋"/>
                <w:b/>
                <w:bCs w:val="0"/>
                <w:color w:val="auto"/>
                <w:sz w:val="21"/>
                <w:szCs w:val="21"/>
                <w:highlight w:val="none"/>
              </w:rPr>
              <w:t>应在货物发运前对其进行满足运输距离、防潮、防震、防锈和防破损装卸等要求包装，以保证货物安全运达</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指定地点。</w:t>
            </w:r>
          </w:p>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2.使用中文说明书、质量检验证明书、随配附件和工具以及清单一并附于货物内。</w:t>
            </w:r>
          </w:p>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3.</w:t>
            </w:r>
            <w:r>
              <w:rPr>
                <w:rFonts w:hint="eastAsia" w:ascii="仿宋" w:hAnsi="仿宋" w:eastAsia="仿宋" w:cs="仿宋"/>
                <w:b/>
                <w:bCs w:val="0"/>
                <w:color w:val="auto"/>
                <w:sz w:val="21"/>
                <w:szCs w:val="21"/>
                <w:highlight w:val="none"/>
                <w:lang w:eastAsia="zh-CN"/>
              </w:rPr>
              <w:t>中标人</w:t>
            </w:r>
            <w:r>
              <w:rPr>
                <w:rFonts w:hint="eastAsia" w:ascii="仿宋" w:hAnsi="仿宋" w:eastAsia="仿宋" w:cs="仿宋"/>
                <w:b/>
                <w:bCs w:val="0"/>
                <w:color w:val="auto"/>
                <w:sz w:val="21"/>
                <w:szCs w:val="21"/>
                <w:highlight w:val="none"/>
              </w:rPr>
              <w:t>在货物发运手续办理完毕后二十四小时内或货到</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四十八小时前通知</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，以准备接货。</w:t>
            </w:r>
          </w:p>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4.货物在</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最终验收完毕出具验收文书前发生的一切风险均由</w:t>
            </w:r>
            <w:r>
              <w:rPr>
                <w:rFonts w:hint="eastAsia" w:ascii="仿宋" w:hAnsi="仿宋" w:eastAsia="仿宋" w:cs="仿宋"/>
                <w:b/>
                <w:bCs w:val="0"/>
                <w:color w:val="auto"/>
                <w:sz w:val="21"/>
                <w:szCs w:val="21"/>
                <w:highlight w:val="none"/>
                <w:lang w:eastAsia="zh-CN"/>
              </w:rPr>
              <w:t>中标人</w:t>
            </w:r>
            <w:r>
              <w:rPr>
                <w:rFonts w:hint="eastAsia" w:ascii="仿宋" w:hAnsi="仿宋" w:eastAsia="仿宋" w:cs="仿宋"/>
                <w:b/>
                <w:bCs w:val="0"/>
                <w:color w:val="auto"/>
                <w:sz w:val="21"/>
                <w:szCs w:val="21"/>
                <w:highlight w:val="none"/>
              </w:rPr>
              <w:t>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（五）保险</w:t>
            </w:r>
          </w:p>
        </w:tc>
        <w:tc>
          <w:tcPr>
            <w:tcW w:w="3674" w:type="pct"/>
            <w:gridSpan w:val="2"/>
            <w:noWrap w:val="0"/>
            <w:vAlign w:val="center"/>
          </w:tcPr>
          <w:p>
            <w:pPr>
              <w:spacing w:line="340" w:lineRule="exact"/>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若投标人为本项目标的及标的涉及的相关材料、设备、人员、运输等购买保险的，相关费用由投标人自行承担。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w:t>
            </w:r>
            <w:r>
              <w:rPr>
                <w:rFonts w:hint="eastAsia" w:ascii="仿宋" w:hAnsi="仿宋" w:eastAsia="仿宋" w:cs="仿宋"/>
                <w:b/>
                <w:bCs w:val="0"/>
                <w:color w:val="auto"/>
                <w:sz w:val="21"/>
                <w:szCs w:val="21"/>
                <w:highlight w:val="none"/>
                <w:lang w:eastAsia="zh-CN"/>
              </w:rPr>
              <w:t>六</w:t>
            </w:r>
            <w:r>
              <w:rPr>
                <w:rFonts w:hint="eastAsia" w:ascii="仿宋" w:hAnsi="仿宋" w:eastAsia="仿宋" w:cs="仿宋"/>
                <w:b/>
                <w:bCs w:val="0"/>
                <w:color w:val="auto"/>
                <w:sz w:val="21"/>
                <w:szCs w:val="21"/>
                <w:highlight w:val="none"/>
              </w:rPr>
              <w:t>）验收标准</w:t>
            </w:r>
          </w:p>
        </w:tc>
        <w:tc>
          <w:tcPr>
            <w:tcW w:w="3674" w:type="pct"/>
            <w:gridSpan w:val="2"/>
            <w:noWrap w:val="0"/>
            <w:vAlign w:val="top"/>
          </w:tcPr>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1.中标人提供的产品必须符合国家、行业强制执行的相关质量标准要求以及产品制造厂家合格产品的出厂质量标准。</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2.设备须全新、完好、无破损，产品到货后，</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现场根据招标文件要求、投标文件承诺以及国家相关标准、地方标准进行验收，必要时，</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有权邀请国家质量监督检验部门或国家认可的检测机构参与共同验收。如产品不满足投标文件要求、中标人投标文件承诺或国家、行业强制执行的相关质量标准要求以及产品制造厂家合格产品的出厂质量标准，</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有权不予验收，由此造成</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的经济损失由中标人承担全部赔偿责任。</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3.中标人必须于供货时向</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提供所投医疗器械产品由行政主管部门核准资格文件、产品注册时的检测检验报告书，产品彩页或参数说明书等资料材料，以便核实相关技术参数，否则不予验收，中标人应承担逾期交货违约责任。</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4.中标人交货前应对产品做出全面的检查和对验收文件进行整理，并列出清单，作为</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验收和使用的技术条件依据，验收的结果应随货物交</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5.</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依据招标文件的技术规格要求和国家有关质量标准对货物进行现场初步验收，外观、说明书符合招标文件技术要求的，给予签收，初步验收不合格的不予签收。货到后，</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 xml:space="preserve">应当在到货（安装、调试完）后七个工作日内进行验收。验收合格后由双方签署货物验收单并加盖公章，双方各执一份。 </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6.</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对中标人提供的货物在使用前进行调试时，投标人须负责安装并培训</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的使用人员，并协助</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一起调试，直到符合技术要求，</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予以最终验收。</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7.对技术复杂的货物，</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应请国家认可的专业检测机构参与初步验收及最终验收，并由其出具质量检测报告。</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8.验收时中标人必须在现场，验收完毕后做出验收结果报告，验收费用由中标人负责。</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9.</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对验收有异议的，在验收后7个工作日内以书面形式向中标人提出，中标人应自收到</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书面异议后7日内及时予以解决。</w:t>
            </w:r>
          </w:p>
          <w:p>
            <w:pPr>
              <w:keepNext w:val="0"/>
              <w:keepLines w:val="0"/>
              <w:pageBreakBefore w:val="0"/>
              <w:kinsoku/>
              <w:wordWrap w:val="0"/>
              <w:overflowPunct/>
              <w:topLinePunct w:val="0"/>
              <w:autoSpaceDE/>
              <w:autoSpaceDN/>
              <w:bidi w:val="0"/>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10.经</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提出书面整改之日起，中标人七日内仍无法解决的，或经整改达不到</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验收要求的，</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有权终止合同，中标人无条件同意终止合同，中标人自愿放弃所有的索赔，由此造成</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的经济损失由中标人承担全部赔偿责任包括不限于</w:t>
            </w:r>
            <w:r>
              <w:rPr>
                <w:rFonts w:hint="eastAsia" w:ascii="仿宋" w:hAnsi="仿宋" w:eastAsia="仿宋" w:cs="仿宋"/>
                <w:b/>
                <w:bCs w:val="0"/>
                <w:color w:val="auto"/>
                <w:sz w:val="21"/>
                <w:szCs w:val="21"/>
                <w:highlight w:val="none"/>
                <w:lang w:eastAsia="zh-CN"/>
              </w:rPr>
              <w:t>招标人</w:t>
            </w:r>
            <w:r>
              <w:rPr>
                <w:rFonts w:hint="eastAsia" w:ascii="仿宋" w:hAnsi="仿宋" w:eastAsia="仿宋" w:cs="仿宋"/>
                <w:b/>
                <w:bCs w:val="0"/>
                <w:color w:val="auto"/>
                <w:sz w:val="21"/>
                <w:szCs w:val="21"/>
                <w:highlight w:val="none"/>
              </w:rPr>
              <w:t>的经济损失及律师费、诉讼费、鉴定费等。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lang w:eastAsia="zh-CN"/>
              </w:rPr>
            </w:pPr>
            <w:r>
              <w:rPr>
                <w:rFonts w:hint="eastAsia" w:ascii="仿宋" w:hAnsi="仿宋" w:eastAsia="仿宋" w:cs="仿宋"/>
                <w:b/>
                <w:bCs w:val="0"/>
                <w:color w:val="auto"/>
                <w:sz w:val="21"/>
                <w:szCs w:val="21"/>
                <w:highlight w:val="none"/>
              </w:rPr>
              <w:t>（</w:t>
            </w:r>
            <w:r>
              <w:rPr>
                <w:rFonts w:hint="eastAsia" w:ascii="仿宋" w:hAnsi="仿宋" w:eastAsia="仿宋" w:cs="仿宋"/>
                <w:b/>
                <w:bCs w:val="0"/>
                <w:color w:val="auto"/>
                <w:sz w:val="21"/>
                <w:szCs w:val="21"/>
                <w:highlight w:val="none"/>
                <w:lang w:eastAsia="zh-CN"/>
              </w:rPr>
              <w:t>七</w:t>
            </w:r>
            <w:r>
              <w:rPr>
                <w:rFonts w:hint="eastAsia" w:ascii="仿宋" w:hAnsi="仿宋" w:eastAsia="仿宋" w:cs="仿宋"/>
                <w:b/>
                <w:bCs w:val="0"/>
                <w:color w:val="auto"/>
                <w:sz w:val="21"/>
                <w:szCs w:val="21"/>
                <w:highlight w:val="none"/>
              </w:rPr>
              <w:t>）最高投标限价</w:t>
            </w:r>
          </w:p>
        </w:tc>
        <w:tc>
          <w:tcPr>
            <w:tcW w:w="3674" w:type="pct"/>
            <w:gridSpan w:val="2"/>
            <w:noWrap w:val="0"/>
            <w:vAlign w:val="top"/>
          </w:tcPr>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本招标项目最高投标限价为人民币</w:t>
            </w:r>
            <w:r>
              <w:rPr>
                <w:rFonts w:hint="eastAsia" w:ascii="仿宋" w:hAnsi="仿宋" w:eastAsia="仿宋" w:cs="仿宋"/>
                <w:b/>
                <w:bCs w:val="0"/>
                <w:color w:val="auto"/>
                <w:sz w:val="21"/>
                <w:szCs w:val="21"/>
                <w:highlight w:val="none"/>
                <w:lang w:eastAsia="zh-CN"/>
              </w:rPr>
              <w:t>：</w:t>
            </w:r>
            <w:r>
              <w:rPr>
                <w:rFonts w:hint="eastAsia" w:ascii="仿宋" w:hAnsi="仿宋" w:eastAsia="仿宋" w:cs="仿宋"/>
                <w:b/>
                <w:bCs w:val="0"/>
                <w:color w:val="auto"/>
                <w:sz w:val="21"/>
                <w:szCs w:val="21"/>
                <w:highlight w:val="none"/>
                <w:lang w:val="en-US" w:eastAsia="zh-CN"/>
              </w:rPr>
              <w:t>叁拾肆万贰仟</w:t>
            </w:r>
            <w:r>
              <w:rPr>
                <w:rFonts w:hint="eastAsia" w:ascii="仿宋" w:hAnsi="仿宋" w:eastAsia="仿宋" w:cs="仿宋"/>
                <w:b/>
                <w:bCs w:val="0"/>
                <w:color w:val="auto"/>
                <w:sz w:val="21"/>
                <w:szCs w:val="21"/>
                <w:highlight w:val="none"/>
              </w:rPr>
              <w:t>元整（￥</w:t>
            </w:r>
            <w:r>
              <w:rPr>
                <w:rFonts w:hint="eastAsia" w:ascii="仿宋" w:hAnsi="仿宋" w:eastAsia="仿宋" w:cs="仿宋"/>
                <w:b/>
                <w:bCs w:val="0"/>
                <w:color w:val="auto"/>
                <w:sz w:val="21"/>
                <w:szCs w:val="21"/>
                <w:highlight w:val="none"/>
                <w:lang w:eastAsia="zh-CN"/>
              </w:rPr>
              <w:t>：</w:t>
            </w:r>
            <w:r>
              <w:rPr>
                <w:rFonts w:hint="eastAsia" w:ascii="仿宋" w:hAnsi="仿宋" w:eastAsia="仿宋" w:cs="仿宋"/>
                <w:b/>
                <w:bCs w:val="0"/>
                <w:color w:val="auto"/>
                <w:sz w:val="21"/>
                <w:szCs w:val="21"/>
                <w:highlight w:val="none"/>
                <w:lang w:val="en-US" w:eastAsia="zh-CN"/>
              </w:rPr>
              <w:t>34.2万</w:t>
            </w:r>
            <w:r>
              <w:rPr>
                <w:rFonts w:hint="eastAsia" w:ascii="仿宋" w:hAnsi="仿宋" w:eastAsia="仿宋" w:cs="仿宋"/>
                <w:b/>
                <w:bCs w:val="0"/>
                <w:color w:val="auto"/>
                <w:sz w:val="21"/>
                <w:szCs w:val="21"/>
                <w:highlight w:val="none"/>
              </w:rPr>
              <w:t>元），投标人</w:t>
            </w:r>
            <w:r>
              <w:rPr>
                <w:rFonts w:hint="eastAsia" w:ascii="仿宋" w:hAnsi="仿宋" w:eastAsia="仿宋" w:cs="仿宋"/>
                <w:b/>
                <w:bCs w:val="0"/>
                <w:color w:val="auto"/>
                <w:sz w:val="21"/>
                <w:szCs w:val="21"/>
                <w:highlight w:val="none"/>
                <w:lang w:eastAsia="zh-CN"/>
              </w:rPr>
              <w:t>投标</w:t>
            </w:r>
            <w:r>
              <w:rPr>
                <w:rFonts w:hint="eastAsia" w:ascii="仿宋" w:hAnsi="仿宋" w:eastAsia="仿宋" w:cs="仿宋"/>
                <w:b/>
                <w:bCs w:val="0"/>
                <w:color w:val="auto"/>
                <w:sz w:val="21"/>
                <w:szCs w:val="21"/>
                <w:highlight w:val="none"/>
              </w:rPr>
              <w:t>报价超过最高投标限价或</w:t>
            </w:r>
            <w:bookmarkStart w:id="10" w:name="OLE_LINK8"/>
            <w:r>
              <w:rPr>
                <w:rFonts w:hint="eastAsia" w:ascii="仿宋" w:hAnsi="仿宋" w:eastAsia="仿宋" w:cs="仿宋"/>
                <w:b/>
                <w:bCs w:val="0"/>
                <w:color w:val="auto"/>
                <w:sz w:val="21"/>
                <w:szCs w:val="21"/>
                <w:highlight w:val="none"/>
              </w:rPr>
              <w:t>各分项标的的单价报价超过单价最高限价的</w:t>
            </w:r>
            <w:bookmarkEnd w:id="10"/>
            <w:r>
              <w:rPr>
                <w:rFonts w:hint="eastAsia" w:ascii="仿宋" w:hAnsi="仿宋" w:eastAsia="仿宋" w:cs="仿宋"/>
                <w:b/>
                <w:bCs w:val="0"/>
                <w:color w:val="auto"/>
                <w:sz w:val="21"/>
                <w:szCs w:val="21"/>
                <w:highlight w:val="none"/>
              </w:rPr>
              <w:t>，按否决投标处理。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5" w:type="pct"/>
            <w:gridSpan w:val="3"/>
            <w:noWrap w:val="0"/>
            <w:vAlign w:val="center"/>
          </w:tcPr>
          <w:p>
            <w:pPr>
              <w:spacing w:line="340" w:lineRule="exact"/>
              <w:jc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w:t>
            </w:r>
            <w:r>
              <w:rPr>
                <w:rFonts w:hint="eastAsia" w:ascii="仿宋" w:hAnsi="仿宋" w:eastAsia="仿宋" w:cs="仿宋"/>
                <w:b/>
                <w:bCs w:val="0"/>
                <w:color w:val="auto"/>
                <w:sz w:val="21"/>
                <w:szCs w:val="21"/>
                <w:highlight w:val="none"/>
                <w:lang w:eastAsia="zh-CN"/>
              </w:rPr>
              <w:t>八</w:t>
            </w:r>
            <w:r>
              <w:rPr>
                <w:rFonts w:hint="eastAsia" w:ascii="仿宋" w:hAnsi="仿宋" w:eastAsia="仿宋" w:cs="仿宋"/>
                <w:b/>
                <w:bCs w:val="0"/>
                <w:color w:val="auto"/>
                <w:sz w:val="21"/>
                <w:szCs w:val="21"/>
                <w:highlight w:val="none"/>
              </w:rPr>
              <w:t>）</w:t>
            </w:r>
            <w:r>
              <w:rPr>
                <w:rFonts w:hint="eastAsia" w:ascii="仿宋" w:hAnsi="仿宋" w:eastAsia="仿宋" w:cs="仿宋"/>
                <w:b/>
                <w:bCs w:val="0"/>
                <w:color w:val="auto"/>
                <w:kern w:val="0"/>
                <w:sz w:val="21"/>
                <w:szCs w:val="21"/>
                <w:highlight w:val="none"/>
              </w:rPr>
              <w:t>医疗器械管理相应有效证明材料</w:t>
            </w:r>
          </w:p>
        </w:tc>
        <w:tc>
          <w:tcPr>
            <w:tcW w:w="3674" w:type="pct"/>
            <w:gridSpan w:val="2"/>
            <w:noWrap w:val="0"/>
            <w:vAlign w:val="top"/>
          </w:tcPr>
          <w:p>
            <w:pPr>
              <w:adjustRightInd w:val="0"/>
              <w:snapToGrid w:val="0"/>
              <w:spacing w:line="340" w:lineRule="exact"/>
              <w:textAlignment w:val="center"/>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投标人于投标文件中必须提供所投产品相应有效的《中华人民共和国医疗器械注册证》复印件（必须包括产品相应的许可事项和登记事项，否则，应附注册登记表或认可表资料，要求清晰反映相关内容）。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noWrap w:val="0"/>
            <w:vAlign w:val="center"/>
          </w:tcPr>
          <w:p>
            <w:pPr>
              <w:adjustRightInd w:val="0"/>
              <w:snapToGrid w:val="0"/>
              <w:spacing w:line="360" w:lineRule="exact"/>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eastAsia="zh-Hans"/>
              </w:rPr>
              <w:t>三</w:t>
            </w:r>
            <w:r>
              <w:rPr>
                <w:rFonts w:hint="eastAsia" w:ascii="仿宋" w:hAnsi="仿宋" w:eastAsia="仿宋" w:cs="仿宋"/>
                <w:b/>
                <w:color w:val="auto"/>
                <w:sz w:val="21"/>
                <w:szCs w:val="21"/>
                <w:highlight w:val="none"/>
              </w:rPr>
              <w:t>、与项目实施有关的其他要求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trPr>
        <w:tc>
          <w:tcPr>
            <w:tcW w:w="5000" w:type="pct"/>
            <w:gridSpan w:val="5"/>
            <w:noWrap w:val="0"/>
            <w:vAlign w:val="center"/>
          </w:tcPr>
          <w:p>
            <w:pPr>
              <w:tabs>
                <w:tab w:val="left" w:pos="1305"/>
              </w:tabs>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Hans"/>
              </w:rPr>
              <w:t>一</w:t>
            </w:r>
            <w:r>
              <w:rPr>
                <w:rFonts w:hint="eastAsia" w:ascii="仿宋" w:hAnsi="仿宋" w:eastAsia="仿宋" w:cs="仿宋"/>
                <w:color w:val="auto"/>
                <w:sz w:val="21"/>
                <w:szCs w:val="21"/>
                <w:highlight w:val="none"/>
              </w:rPr>
              <w:t>）投标人于投标文件中提供针对本项目的配送及安装实施方案（包含但不限于：</w:t>
            </w:r>
            <w:bookmarkStart w:id="11" w:name="OLE_LINK7"/>
            <w:r>
              <w:rPr>
                <w:rFonts w:hint="eastAsia" w:ascii="仿宋" w:hAnsi="仿宋" w:eastAsia="仿宋" w:cs="仿宋"/>
                <w:color w:val="auto"/>
                <w:sz w:val="21"/>
                <w:szCs w:val="21"/>
                <w:highlight w:val="none"/>
              </w:rPr>
              <w:t>①项目管理方案；②配送组织安排；③设备安装方案</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设备调试及试运行方案；④设备安装技术人员配备；⑤技术支持方案等</w:t>
            </w:r>
            <w:bookmarkEnd w:id="11"/>
            <w:r>
              <w:rPr>
                <w:rFonts w:hint="eastAsia" w:ascii="仿宋" w:hAnsi="仿宋" w:eastAsia="仿宋" w:cs="仿宋"/>
                <w:color w:val="auto"/>
                <w:sz w:val="21"/>
                <w:szCs w:val="21"/>
                <w:highlight w:val="none"/>
              </w:rPr>
              <w:t>）。</w:t>
            </w:r>
          </w:p>
          <w:p>
            <w:pPr>
              <w:tabs>
                <w:tab w:val="left" w:pos="1305"/>
              </w:tabs>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Hans"/>
              </w:rPr>
              <w:t>二</w:t>
            </w:r>
            <w:r>
              <w:rPr>
                <w:rFonts w:hint="eastAsia" w:ascii="仿宋" w:hAnsi="仿宋" w:eastAsia="仿宋" w:cs="仿宋"/>
                <w:color w:val="auto"/>
                <w:sz w:val="21"/>
                <w:szCs w:val="21"/>
                <w:highlight w:val="none"/>
              </w:rPr>
              <w:t>）投标人于投标文件中提供针对本项目的售后服务方案</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包含但不限于：①售后人员配备情况；②常见故障及解决方案；③培训方案；④保修期外维修方案；⑤其他实质性优惠措施等。</w:t>
            </w:r>
          </w:p>
          <w:p>
            <w:pPr>
              <w:spacing w:line="360" w:lineRule="exac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Hans"/>
              </w:rPr>
              <w:t>三</w:t>
            </w:r>
            <w:r>
              <w:rPr>
                <w:rFonts w:hint="eastAsia" w:ascii="仿宋" w:hAnsi="仿宋" w:eastAsia="仿宋" w:cs="仿宋"/>
                <w:color w:val="auto"/>
                <w:kern w:val="0"/>
                <w:sz w:val="21"/>
                <w:szCs w:val="21"/>
                <w:highlight w:val="none"/>
              </w:rPr>
              <w:t>）履约能力要求</w:t>
            </w:r>
          </w:p>
          <w:p>
            <w:pPr>
              <w:adjustRightInd w:val="0"/>
              <w:snapToGrid w:val="0"/>
              <w:spacing w:line="33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1.投标人或所投核心产品生产厂家通过ISO9001质量管理体系认证且有效、通过ISO14001环境体系认证且有效。</w:t>
            </w:r>
          </w:p>
          <w:p>
            <w:pPr>
              <w:adjustRightInd w:val="0"/>
              <w:snapToGrid w:val="0"/>
              <w:spacing w:line="33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2.投标人自2022年以来具有核心产品同类产品销售业绩。</w:t>
            </w:r>
          </w:p>
        </w:tc>
      </w:tr>
    </w:tbl>
    <w:p>
      <w:pPr>
        <w:spacing w:line="360" w:lineRule="exact"/>
        <w:jc w:val="center"/>
        <w:rPr>
          <w:rFonts w:hint="eastAsia" w:ascii="仿宋" w:hAnsi="仿宋" w:eastAsia="仿宋" w:cs="仿宋"/>
          <w:b/>
          <w:color w:val="auto"/>
          <w:sz w:val="21"/>
          <w:szCs w:val="21"/>
          <w:highlight w:val="none"/>
        </w:rPr>
      </w:pPr>
    </w:p>
    <w:p>
      <w:pPr>
        <w:spacing w:line="360" w:lineRule="exact"/>
        <w:jc w:val="center"/>
        <w:rPr>
          <w:rFonts w:hint="eastAsia" w:ascii="仿宋" w:hAnsi="仿宋" w:eastAsia="仿宋" w:cs="仿宋"/>
          <w:b/>
          <w:color w:val="auto"/>
          <w:sz w:val="21"/>
          <w:szCs w:val="21"/>
          <w:highlight w:val="none"/>
        </w:rPr>
      </w:pPr>
    </w:p>
    <w:p>
      <w:pPr>
        <w:spacing w:line="360" w:lineRule="exact"/>
        <w:jc w:val="center"/>
        <w:outlineLvl w:val="0"/>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br w:type="page"/>
      </w:r>
      <w:bookmarkStart w:id="12" w:name="_Toc195100153"/>
      <w:r>
        <w:rPr>
          <w:rFonts w:hint="eastAsia" w:ascii="方正小标宋简体" w:hAnsi="方正小标宋简体" w:eastAsia="方正小标宋简体" w:cs="方正小标宋简体"/>
          <w:b/>
          <w:color w:val="auto"/>
          <w:sz w:val="32"/>
          <w:szCs w:val="32"/>
          <w:highlight w:val="none"/>
        </w:rPr>
        <w:t>第四章  评标办法</w:t>
      </w:r>
      <w:bookmarkEnd w:id="12"/>
    </w:p>
    <w:p>
      <w:pPr>
        <w:spacing w:line="340" w:lineRule="exact"/>
        <w:jc w:val="center"/>
        <w:rPr>
          <w:rFonts w:hint="eastAsia" w:ascii="仿宋" w:hAnsi="仿宋" w:eastAsia="仿宋" w:cs="仿宋"/>
          <w:b/>
          <w:color w:val="auto"/>
          <w:sz w:val="21"/>
          <w:szCs w:val="21"/>
          <w:highlight w:val="none"/>
        </w:rPr>
      </w:pP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2" w:firstLineChars="200"/>
        <w:textAlignment w:val="baseline"/>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一、评标依据及方式</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firstLineChars="20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（一）评标依据：评标委员会以招标文件和投标文件为评标依据，对投标人的投标报价、技术、配送及安装实施方案、售后服务方案、履约能力等方面按百分制打分。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firstLineChars="200"/>
        <w:textAlignment w:val="baseline"/>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（二）评标方式：以封闭方式进行评标。</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2" w:firstLineChars="200"/>
        <w:textAlignment w:val="baseline"/>
        <w:rPr>
          <w:rFonts w:hint="eastAsia" w:ascii="仿宋" w:hAnsi="仿宋" w:eastAsia="仿宋" w:cs="仿宋"/>
          <w:b/>
          <w:bCs/>
          <w:color w:val="auto"/>
          <w:sz w:val="21"/>
          <w:szCs w:val="21"/>
          <w:highlight w:val="none"/>
          <w:lang w:eastAsia="zh-Hans"/>
        </w:rPr>
      </w:pPr>
      <w:r>
        <w:rPr>
          <w:rFonts w:hint="eastAsia" w:ascii="仿宋" w:hAnsi="仿宋" w:eastAsia="仿宋" w:cs="仿宋"/>
          <w:b/>
          <w:bCs/>
          <w:color w:val="auto"/>
          <w:sz w:val="21"/>
          <w:szCs w:val="21"/>
          <w:highlight w:val="none"/>
        </w:rPr>
        <w:t>二、评标办法</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firstLineChars="200"/>
        <w:textAlignment w:val="baseline"/>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（一）对进入详评的，采用</w:t>
      </w:r>
      <w:r>
        <w:rPr>
          <w:rFonts w:hint="eastAsia" w:ascii="仿宋" w:hAnsi="仿宋" w:eastAsia="仿宋" w:cs="仿宋"/>
          <w:bCs/>
          <w:color w:val="auto"/>
          <w:sz w:val="21"/>
          <w:szCs w:val="21"/>
          <w:highlight w:val="none"/>
          <w:lang w:eastAsia="zh-CN"/>
        </w:rPr>
        <w:t>综合评估法</w:t>
      </w:r>
      <w:r>
        <w:rPr>
          <w:rFonts w:hint="eastAsia" w:ascii="仿宋" w:hAnsi="仿宋" w:eastAsia="仿宋" w:cs="仿宋"/>
          <w:bCs/>
          <w:color w:val="auto"/>
          <w:sz w:val="21"/>
          <w:szCs w:val="21"/>
          <w:highlight w:val="none"/>
        </w:rPr>
        <w:t>。</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left="210" w:leftChars="100" w:firstLine="210" w:firstLineChars="100"/>
        <w:textAlignment w:val="baseline"/>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（二）计分办法（按四舍五入取至小数点后二位）</w:t>
      </w:r>
    </w:p>
    <w:p>
      <w:pPr>
        <w:pStyle w:val="6"/>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527" w:firstLineChars="250"/>
        <w:textAlignment w:val="baseline"/>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1.价格分………………………………………………………………………………………</w:t>
      </w:r>
      <w:r>
        <w:rPr>
          <w:rFonts w:hint="eastAsia" w:ascii="仿宋" w:hAnsi="仿宋" w:eastAsia="仿宋" w:cs="仿宋"/>
          <w:b/>
          <w:color w:val="auto"/>
          <w:sz w:val="21"/>
          <w:szCs w:val="21"/>
          <w:highlight w:val="none"/>
          <w:lang w:val="en-US" w:eastAsia="zh-CN"/>
        </w:rPr>
        <w:t>40</w:t>
      </w:r>
      <w:r>
        <w:rPr>
          <w:rFonts w:hint="eastAsia" w:ascii="仿宋" w:hAnsi="仿宋" w:eastAsia="仿宋" w:cs="仿宋"/>
          <w:b/>
          <w:color w:val="auto"/>
          <w:sz w:val="21"/>
          <w:szCs w:val="21"/>
          <w:highlight w:val="none"/>
        </w:rPr>
        <w:t>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095" w:firstLineChars="1950"/>
        <w:textAlignment w:val="baseline"/>
        <w:rPr>
          <w:rFonts w:hint="eastAsia" w:ascii="仿宋" w:hAnsi="仿宋" w:eastAsia="仿宋" w:cs="仿宋"/>
          <w:color w:val="auto"/>
          <w:sz w:val="21"/>
          <w:szCs w:val="21"/>
          <w:highlight w:val="none"/>
        </w:rPr>
      </w:pPr>
      <w:bookmarkStart w:id="13" w:name="_Toc4658"/>
      <w:bookmarkStart w:id="14" w:name="_Toc1424"/>
      <w:bookmarkStart w:id="15" w:name="_Toc10316"/>
      <w:bookmarkStart w:id="16" w:name="_Toc9792"/>
      <w:r>
        <w:rPr>
          <w:rFonts w:hint="eastAsia" w:ascii="仿宋" w:hAnsi="仿宋" w:eastAsia="仿宋" w:cs="仿宋"/>
          <w:color w:val="auto"/>
          <w:sz w:val="21"/>
          <w:szCs w:val="21"/>
          <w:highlight w:val="none"/>
        </w:rPr>
        <w:t xml:space="preserve">最低投标报价        </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1260" w:firstLineChars="60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1943100</wp:posOffset>
                </wp:positionH>
                <wp:positionV relativeFrom="paragraph">
                  <wp:posOffset>121920</wp:posOffset>
                </wp:positionV>
                <wp:extent cx="2400300" cy="7620"/>
                <wp:effectExtent l="0" t="0" r="0" b="0"/>
                <wp:wrapNone/>
                <wp:docPr id="2" name="直接连接符 2"/>
                <wp:cNvGraphicFramePr/>
                <a:graphic xmlns:a="http://schemas.openxmlformats.org/drawingml/2006/main">
                  <a:graphicData uri="http://schemas.microsoft.com/office/word/2010/wordprocessingShape">
                    <wps:wsp>
                      <wps:cNvCnPr/>
                      <wps:spPr>
                        <a:xfrm>
                          <a:off x="0" y="0"/>
                          <a:ext cx="2400300" cy="76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53pt;margin-top:9.6pt;height:0.6pt;width:189pt;z-index:251659264;mso-width-relative:page;mso-height-relative:page;" filled="f" stroked="t" coordsize="21600,21600" o:gfxdata="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fpmYLXAAAACQEAAA8AAAAAAAAAAQAgAAAAIgAAAGRycy9kb3ducmV2&#10;LnhtbFBLAQIUABQAAAAIAIdO4kCGBH0M/QEAAPUDAAAOAAAAAAAAAAEAIAAAACYBAABkcnMvZTJv&#10;RG9jLnhtbFBLBQYAAAAABgAGAFkBAACVBQAAAAA=&#10;">
                <v:fill on="f" focussize="0,0"/>
                <v:stroke color="#000000" joinstyle="round"/>
                <v:imagedata o:title=""/>
                <o:lock v:ext="edit" aspectratio="f"/>
              </v:line>
            </w:pict>
          </mc:Fallback>
        </mc:AlternateContent>
      </w:r>
      <w:r>
        <w:rPr>
          <w:rFonts w:hint="eastAsia" w:ascii="仿宋" w:hAnsi="仿宋" w:eastAsia="仿宋" w:cs="仿宋"/>
          <w:color w:val="auto"/>
          <w:sz w:val="21"/>
          <w:szCs w:val="21"/>
          <w:highlight w:val="none"/>
        </w:rPr>
        <w:t>投标人价格分 =                                         ×</w:t>
      </w:r>
      <w:r>
        <w:rPr>
          <w:rFonts w:hint="eastAsia" w:ascii="仿宋" w:hAnsi="仿宋" w:eastAsia="仿宋" w:cs="仿宋"/>
          <w:color w:val="auto"/>
          <w:sz w:val="21"/>
          <w:szCs w:val="21"/>
          <w:highlight w:val="none"/>
          <w:lang w:val="en-US" w:eastAsia="zh-CN"/>
        </w:rPr>
        <w:t>40</w:t>
      </w:r>
      <w:r>
        <w:rPr>
          <w:rFonts w:hint="eastAsia" w:ascii="仿宋" w:hAnsi="仿宋" w:eastAsia="仿宋" w:cs="仿宋"/>
          <w:color w:val="auto"/>
          <w:sz w:val="21"/>
          <w:szCs w:val="21"/>
          <w:highlight w:val="none"/>
        </w:rPr>
        <w:t xml:space="preserve">分 </w:t>
      </w:r>
    </w:p>
    <w:p>
      <w:pPr>
        <w:pStyle w:val="7"/>
        <w:keepNext w:val="0"/>
        <w:keepLines w:val="0"/>
        <w:pageBreakBefore w:val="0"/>
        <w:widowControl/>
        <w:tabs>
          <w:tab w:val="left" w:pos="8820"/>
        </w:tabs>
        <w:kinsoku w:val="0"/>
        <w:wordWrap/>
        <w:overflowPunct/>
        <w:topLinePunct w:val="0"/>
        <w:autoSpaceDE w:val="0"/>
        <w:autoSpaceDN w:val="0"/>
        <w:bidi w:val="0"/>
        <w:adjustRightInd w:val="0"/>
        <w:snapToGrid w:val="0"/>
        <w:spacing w:line="300" w:lineRule="exact"/>
        <w:ind w:firstLine="420" w:firstLineChars="20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投标人投标报价    </w:t>
      </w:r>
    </w:p>
    <w:p>
      <w:pPr>
        <w:keepNext w:val="0"/>
        <w:keepLines w:val="0"/>
        <w:pageBreakBefore w:val="0"/>
        <w:widowControl/>
        <w:tabs>
          <w:tab w:val="left" w:pos="1140"/>
        </w:tabs>
        <w:kinsoku w:val="0"/>
        <w:wordWrap/>
        <w:overflowPunct/>
        <w:topLinePunct w:val="0"/>
        <w:autoSpaceDE w:val="0"/>
        <w:autoSpaceDN w:val="0"/>
        <w:bidi w:val="0"/>
        <w:adjustRightInd w:val="0"/>
        <w:snapToGrid w:val="0"/>
        <w:spacing w:line="300" w:lineRule="exact"/>
        <w:ind w:firstLine="422" w:firstLineChars="200"/>
        <w:textAlignment w:val="baseline"/>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2.技术分………………………………………………………………………………………</w:t>
      </w:r>
      <w:r>
        <w:rPr>
          <w:rFonts w:hint="eastAsia" w:ascii="仿宋" w:hAnsi="仿宋" w:eastAsia="仿宋" w:cs="仿宋"/>
          <w:b/>
          <w:bCs/>
          <w:color w:val="auto"/>
          <w:sz w:val="21"/>
          <w:szCs w:val="21"/>
          <w:highlight w:val="none"/>
          <w:lang w:val="en-US" w:eastAsia="zh-CN"/>
        </w:rPr>
        <w:t>37</w:t>
      </w:r>
      <w:r>
        <w:rPr>
          <w:rFonts w:hint="eastAsia" w:ascii="仿宋" w:hAnsi="仿宋" w:eastAsia="仿宋" w:cs="仿宋"/>
          <w:b/>
          <w:bCs/>
          <w:color w:val="auto"/>
          <w:sz w:val="21"/>
          <w:szCs w:val="21"/>
          <w:highlight w:val="none"/>
        </w:rPr>
        <w:t>分</w:t>
      </w:r>
    </w:p>
    <w:p>
      <w:pPr>
        <w:keepNext w:val="0"/>
        <w:keepLines w:val="0"/>
        <w:pageBreakBefore w:val="0"/>
        <w:widowControl/>
        <w:kinsoku w:val="0"/>
        <w:wordWrap/>
        <w:overflowPunct/>
        <w:topLinePunct w:val="0"/>
        <w:autoSpaceDE w:val="0"/>
        <w:autoSpaceDN w:val="0"/>
        <w:bidi w:val="0"/>
        <w:adjustRightInd w:val="0"/>
        <w:snapToGrid w:val="0"/>
        <w:spacing w:line="300" w:lineRule="exact"/>
        <w:ind w:firstLine="420" w:firstLineChars="200"/>
        <w:jc w:val="left"/>
        <w:textAlignment w:val="baseline"/>
        <w:rPr>
          <w:rFonts w:hint="eastAsia" w:ascii="仿宋" w:hAnsi="仿宋" w:eastAsia="仿宋" w:cs="仿宋"/>
          <w:strike w:val="0"/>
          <w:dstrike w:val="0"/>
          <w:color w:val="auto"/>
          <w:sz w:val="21"/>
          <w:szCs w:val="21"/>
          <w:highlight w:val="none"/>
        </w:rPr>
      </w:pPr>
      <w:r>
        <w:rPr>
          <w:rFonts w:hint="eastAsia" w:ascii="仿宋" w:hAnsi="仿宋" w:eastAsia="仿宋" w:cs="仿宋"/>
          <w:strike w:val="0"/>
          <w:dstrike w:val="0"/>
          <w:color w:val="auto"/>
          <w:sz w:val="21"/>
          <w:szCs w:val="21"/>
          <w:highlight w:val="none"/>
        </w:rPr>
        <w:t>经评委独立评审，投标人投标文件满足招标文件全部</w:t>
      </w:r>
      <w:r>
        <w:rPr>
          <w:rFonts w:hint="eastAsia" w:ascii="仿宋" w:hAnsi="仿宋" w:eastAsia="仿宋" w:cs="仿宋"/>
          <w:strike w:val="0"/>
          <w:dstrike w:val="0"/>
          <w:color w:val="auto"/>
          <w:sz w:val="21"/>
          <w:szCs w:val="21"/>
          <w:highlight w:val="none"/>
          <w:lang w:val="en-US" w:eastAsia="zh-CN"/>
        </w:rPr>
        <w:t>实质性</w:t>
      </w:r>
      <w:r>
        <w:rPr>
          <w:rFonts w:hint="eastAsia" w:ascii="仿宋" w:hAnsi="仿宋" w:eastAsia="仿宋" w:cs="仿宋"/>
          <w:strike w:val="0"/>
          <w:dstrike w:val="0"/>
          <w:color w:val="auto"/>
          <w:sz w:val="21"/>
          <w:szCs w:val="21"/>
          <w:highlight w:val="none"/>
        </w:rPr>
        <w:t>要求的，得基本分</w:t>
      </w:r>
      <w:r>
        <w:rPr>
          <w:rFonts w:hint="eastAsia" w:ascii="仿宋" w:hAnsi="仿宋" w:eastAsia="仿宋" w:cs="仿宋"/>
          <w:strike w:val="0"/>
          <w:dstrike w:val="0"/>
          <w:color w:val="auto"/>
          <w:sz w:val="21"/>
          <w:szCs w:val="21"/>
          <w:highlight w:val="none"/>
          <w:lang w:val="en-US" w:eastAsia="zh-CN"/>
        </w:rPr>
        <w:t>37</w:t>
      </w:r>
      <w:r>
        <w:rPr>
          <w:rFonts w:hint="eastAsia" w:ascii="仿宋" w:hAnsi="仿宋" w:eastAsia="仿宋" w:cs="仿宋"/>
          <w:strike w:val="0"/>
          <w:dstrike w:val="0"/>
          <w:color w:val="auto"/>
          <w:sz w:val="21"/>
          <w:szCs w:val="21"/>
          <w:highlight w:val="none"/>
        </w:rPr>
        <w:t>分；投标人对招标文件第三章“</w:t>
      </w:r>
      <w:r>
        <w:rPr>
          <w:rFonts w:hint="eastAsia" w:ascii="仿宋" w:hAnsi="仿宋" w:eastAsia="仿宋" w:cs="仿宋"/>
          <w:strike w:val="0"/>
          <w:dstrike w:val="0"/>
          <w:color w:val="auto"/>
          <w:sz w:val="21"/>
          <w:szCs w:val="21"/>
          <w:highlight w:val="none"/>
          <w:lang w:eastAsia="zh-CN"/>
        </w:rPr>
        <w:t>项目</w:t>
      </w:r>
      <w:r>
        <w:rPr>
          <w:rFonts w:hint="eastAsia" w:ascii="仿宋" w:hAnsi="仿宋" w:eastAsia="仿宋" w:cs="仿宋"/>
          <w:strike w:val="0"/>
          <w:dstrike w:val="0"/>
          <w:color w:val="auto"/>
          <w:sz w:val="21"/>
          <w:szCs w:val="21"/>
          <w:highlight w:val="none"/>
        </w:rPr>
        <w:t>需求”“技术要求”中标注 “</w:t>
      </w:r>
      <w:r>
        <w:rPr>
          <w:rFonts w:hint="eastAsia" w:ascii="仿宋" w:hAnsi="仿宋" w:eastAsia="仿宋" w:cs="仿宋"/>
          <w:color w:val="auto"/>
          <w:sz w:val="21"/>
          <w:szCs w:val="21"/>
          <w:highlight w:val="none"/>
          <w:lang w:val="en-US" w:eastAsia="zh-CN"/>
        </w:rPr>
        <w:t>▲</w:t>
      </w:r>
      <w:r>
        <w:rPr>
          <w:rFonts w:hint="eastAsia" w:ascii="仿宋" w:hAnsi="仿宋" w:eastAsia="仿宋" w:cs="仿宋"/>
          <w:strike w:val="0"/>
          <w:dstrike w:val="0"/>
          <w:color w:val="auto"/>
          <w:sz w:val="21"/>
          <w:szCs w:val="21"/>
          <w:highlight w:val="none"/>
        </w:rPr>
        <w:t>”号的技术要求响应存在负偏离的，每有一项扣基本分</w:t>
      </w:r>
      <w:r>
        <w:rPr>
          <w:rFonts w:hint="eastAsia" w:ascii="仿宋" w:hAnsi="仿宋" w:eastAsia="仿宋" w:cs="仿宋"/>
          <w:strike w:val="0"/>
          <w:dstrike w:val="0"/>
          <w:color w:val="auto"/>
          <w:sz w:val="21"/>
          <w:szCs w:val="21"/>
          <w:highlight w:val="none"/>
          <w:lang w:val="en-US" w:eastAsia="zh-CN"/>
        </w:rPr>
        <w:t>3</w:t>
      </w:r>
      <w:r>
        <w:rPr>
          <w:rFonts w:hint="eastAsia" w:ascii="仿宋" w:hAnsi="仿宋" w:eastAsia="仿宋" w:cs="仿宋"/>
          <w:strike w:val="0"/>
          <w:dstrike w:val="0"/>
          <w:color w:val="auto"/>
          <w:sz w:val="21"/>
          <w:szCs w:val="21"/>
          <w:highlight w:val="none"/>
        </w:rPr>
        <w:t>分，</w:t>
      </w:r>
      <w:r>
        <w:rPr>
          <w:rFonts w:hint="eastAsia" w:ascii="仿宋" w:hAnsi="仿宋" w:eastAsia="仿宋" w:cs="仿宋"/>
          <w:strike w:val="0"/>
          <w:dstrike w:val="0"/>
          <w:color w:val="auto"/>
          <w:sz w:val="21"/>
          <w:szCs w:val="21"/>
          <w:highlight w:val="none"/>
          <w:lang w:val="en-US" w:eastAsia="zh-CN"/>
        </w:rPr>
        <w:t>未</w:t>
      </w:r>
      <w:r>
        <w:rPr>
          <w:rFonts w:hint="eastAsia" w:ascii="仿宋" w:hAnsi="仿宋" w:eastAsia="仿宋" w:cs="仿宋"/>
          <w:strike w:val="0"/>
          <w:dstrike w:val="0"/>
          <w:color w:val="auto"/>
          <w:sz w:val="21"/>
          <w:szCs w:val="21"/>
          <w:highlight w:val="none"/>
        </w:rPr>
        <w:t>标注 “</w:t>
      </w:r>
      <w:r>
        <w:rPr>
          <w:rFonts w:hint="eastAsia" w:ascii="仿宋" w:hAnsi="仿宋" w:eastAsia="仿宋" w:cs="仿宋"/>
          <w:color w:val="auto"/>
          <w:sz w:val="21"/>
          <w:szCs w:val="21"/>
          <w:highlight w:val="none"/>
          <w:lang w:val="en-US" w:eastAsia="zh-CN"/>
        </w:rPr>
        <w:t>▲</w:t>
      </w:r>
      <w:r>
        <w:rPr>
          <w:rFonts w:hint="eastAsia" w:ascii="仿宋" w:hAnsi="仿宋" w:eastAsia="仿宋" w:cs="仿宋"/>
          <w:strike w:val="0"/>
          <w:dstrike w:val="0"/>
          <w:color w:val="auto"/>
          <w:sz w:val="21"/>
          <w:szCs w:val="21"/>
          <w:highlight w:val="none"/>
        </w:rPr>
        <w:t>”号的技术要求响应存在负偏离的，每有一项扣基本分</w:t>
      </w:r>
      <w:r>
        <w:rPr>
          <w:rFonts w:hint="eastAsia" w:ascii="仿宋" w:hAnsi="仿宋" w:eastAsia="仿宋" w:cs="仿宋"/>
          <w:strike w:val="0"/>
          <w:dstrike w:val="0"/>
          <w:color w:val="auto"/>
          <w:sz w:val="21"/>
          <w:szCs w:val="21"/>
          <w:highlight w:val="none"/>
          <w:lang w:val="en-US" w:eastAsia="zh-CN"/>
        </w:rPr>
        <w:t>2</w:t>
      </w:r>
      <w:r>
        <w:rPr>
          <w:rFonts w:hint="eastAsia" w:ascii="仿宋" w:hAnsi="仿宋" w:eastAsia="仿宋" w:cs="仿宋"/>
          <w:strike w:val="0"/>
          <w:dstrike w:val="0"/>
          <w:color w:val="auto"/>
          <w:sz w:val="21"/>
          <w:szCs w:val="21"/>
          <w:highlight w:val="none"/>
        </w:rPr>
        <w:t>分</w:t>
      </w:r>
      <w:r>
        <w:rPr>
          <w:rFonts w:hint="eastAsia" w:ascii="仿宋" w:hAnsi="仿宋" w:eastAsia="仿宋" w:cs="仿宋"/>
          <w:strike w:val="0"/>
          <w:dstrike w:val="0"/>
          <w:color w:val="auto"/>
          <w:sz w:val="21"/>
          <w:szCs w:val="21"/>
          <w:highlight w:val="none"/>
          <w:lang w:eastAsia="zh-CN"/>
        </w:rPr>
        <w:t>，</w:t>
      </w:r>
      <w:r>
        <w:rPr>
          <w:rFonts w:hint="eastAsia" w:ascii="仿宋" w:hAnsi="仿宋" w:eastAsia="仿宋" w:cs="仿宋"/>
          <w:strike w:val="0"/>
          <w:dstrike w:val="0"/>
          <w:color w:val="auto"/>
          <w:sz w:val="21"/>
          <w:szCs w:val="21"/>
          <w:highlight w:val="none"/>
          <w:lang w:val="en-US" w:eastAsia="zh-CN"/>
        </w:rPr>
        <w:t>扣完为止</w:t>
      </w:r>
      <w:r>
        <w:rPr>
          <w:rFonts w:hint="eastAsia" w:ascii="仿宋" w:hAnsi="仿宋" w:eastAsia="仿宋" w:cs="仿宋"/>
          <w:strike w:val="0"/>
          <w:dstrike w:val="0"/>
          <w:color w:val="auto"/>
          <w:sz w:val="21"/>
          <w:szCs w:val="21"/>
          <w:highlight w:val="none"/>
        </w:rPr>
        <w:t>。</w:t>
      </w:r>
    </w:p>
    <w:bookmarkEnd w:id="13"/>
    <w:bookmarkEnd w:id="14"/>
    <w:bookmarkEnd w:id="15"/>
    <w:bookmarkEnd w:id="16"/>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2"/>
        <w:textAlignment w:val="baseline"/>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3.配送及安装实施方案分……………………………………………………………………</w:t>
      </w:r>
      <w:r>
        <w:rPr>
          <w:rFonts w:hint="eastAsia" w:ascii="仿宋" w:hAnsi="仿宋" w:eastAsia="仿宋" w:cs="仿宋"/>
          <w:b/>
          <w:bCs/>
          <w:color w:val="auto"/>
          <w:sz w:val="21"/>
          <w:szCs w:val="21"/>
          <w:highlight w:val="none"/>
          <w:lang w:val="en-US" w:eastAsia="zh-CN"/>
        </w:rPr>
        <w:t>10</w:t>
      </w:r>
      <w:r>
        <w:rPr>
          <w:rFonts w:hint="eastAsia" w:ascii="仿宋" w:hAnsi="仿宋" w:eastAsia="仿宋" w:cs="仿宋"/>
          <w:b/>
          <w:bCs/>
          <w:color w:val="auto"/>
          <w:sz w:val="21"/>
          <w:szCs w:val="21"/>
          <w:highlight w:val="none"/>
        </w:rPr>
        <w:t>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评委对投标人提供的配送及安装实施方案内容（包括但不限于：①项目管理方案；②配送组织安排；③设备安装方案</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设备调试及试运行方案；④设备安装技术人员配备；⑤技术支持方案等）进行独立评审并按以下规则独立打分：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一档：</w:t>
      </w:r>
      <w:r>
        <w:rPr>
          <w:rFonts w:hint="eastAsia" w:ascii="仿宋" w:hAnsi="仿宋" w:eastAsia="仿宋" w:cs="仿宋"/>
          <w:color w:val="auto"/>
          <w:sz w:val="21"/>
          <w:szCs w:val="21"/>
          <w:highlight w:val="none"/>
          <w:lang w:eastAsia="zh-CN"/>
        </w:rPr>
        <w:t>五</w:t>
      </w:r>
      <w:r>
        <w:rPr>
          <w:rFonts w:hint="eastAsia" w:ascii="仿宋" w:hAnsi="仿宋" w:eastAsia="仿宋" w:cs="仿宋"/>
          <w:color w:val="auto"/>
          <w:sz w:val="21"/>
          <w:szCs w:val="21"/>
          <w:highlight w:val="none"/>
        </w:rPr>
        <w:t>项评审因素经评审有一项合理、可行的，得2分；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二档：</w:t>
      </w:r>
      <w:r>
        <w:rPr>
          <w:rFonts w:hint="eastAsia" w:ascii="仿宋" w:hAnsi="仿宋" w:eastAsia="仿宋" w:cs="仿宋"/>
          <w:color w:val="auto"/>
          <w:sz w:val="21"/>
          <w:szCs w:val="21"/>
          <w:highlight w:val="none"/>
          <w:lang w:eastAsia="zh-CN"/>
        </w:rPr>
        <w:t>五</w:t>
      </w:r>
      <w:r>
        <w:rPr>
          <w:rFonts w:hint="eastAsia" w:ascii="仿宋" w:hAnsi="仿宋" w:eastAsia="仿宋" w:cs="仿宋"/>
          <w:color w:val="auto"/>
          <w:sz w:val="21"/>
          <w:szCs w:val="21"/>
          <w:highlight w:val="none"/>
        </w:rPr>
        <w:t>项评审因素经评审有二项合理、可行的，得4分；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三档：</w:t>
      </w:r>
      <w:r>
        <w:rPr>
          <w:rFonts w:hint="eastAsia" w:ascii="仿宋" w:hAnsi="仿宋" w:eastAsia="仿宋" w:cs="仿宋"/>
          <w:color w:val="auto"/>
          <w:sz w:val="21"/>
          <w:szCs w:val="21"/>
          <w:highlight w:val="none"/>
          <w:lang w:eastAsia="zh-CN"/>
        </w:rPr>
        <w:t>五</w:t>
      </w:r>
      <w:r>
        <w:rPr>
          <w:rFonts w:hint="eastAsia" w:ascii="仿宋" w:hAnsi="仿宋" w:eastAsia="仿宋" w:cs="仿宋"/>
          <w:color w:val="auto"/>
          <w:sz w:val="21"/>
          <w:szCs w:val="21"/>
          <w:highlight w:val="none"/>
        </w:rPr>
        <w:t>项评审因素经评审有三项合理、可行的，得6分；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四档：</w:t>
      </w:r>
      <w:r>
        <w:rPr>
          <w:rFonts w:hint="eastAsia" w:ascii="仿宋" w:hAnsi="仿宋" w:eastAsia="仿宋" w:cs="仿宋"/>
          <w:color w:val="auto"/>
          <w:sz w:val="21"/>
          <w:szCs w:val="21"/>
          <w:highlight w:val="none"/>
          <w:lang w:eastAsia="zh-CN"/>
        </w:rPr>
        <w:t>五</w:t>
      </w:r>
      <w:r>
        <w:rPr>
          <w:rFonts w:hint="eastAsia" w:ascii="仿宋" w:hAnsi="仿宋" w:eastAsia="仿宋" w:cs="仿宋"/>
          <w:color w:val="auto"/>
          <w:sz w:val="21"/>
          <w:szCs w:val="21"/>
          <w:highlight w:val="none"/>
        </w:rPr>
        <w:t>项评审因素经评审有四项合理、可行的，得8分；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五</w:t>
      </w:r>
      <w:r>
        <w:rPr>
          <w:rFonts w:hint="eastAsia" w:ascii="仿宋" w:hAnsi="仿宋" w:eastAsia="仿宋" w:cs="仿宋"/>
          <w:color w:val="auto"/>
          <w:sz w:val="21"/>
          <w:szCs w:val="21"/>
          <w:highlight w:val="none"/>
        </w:rPr>
        <w:t>档：</w:t>
      </w:r>
      <w:r>
        <w:rPr>
          <w:rFonts w:hint="eastAsia" w:ascii="仿宋" w:hAnsi="仿宋" w:eastAsia="仿宋" w:cs="仿宋"/>
          <w:color w:val="auto"/>
          <w:sz w:val="21"/>
          <w:szCs w:val="21"/>
          <w:highlight w:val="none"/>
          <w:lang w:eastAsia="zh-CN"/>
        </w:rPr>
        <w:t>五</w:t>
      </w:r>
      <w:r>
        <w:rPr>
          <w:rFonts w:hint="eastAsia" w:ascii="仿宋" w:hAnsi="仿宋" w:eastAsia="仿宋" w:cs="仿宋"/>
          <w:color w:val="auto"/>
          <w:sz w:val="21"/>
          <w:szCs w:val="21"/>
          <w:highlight w:val="none"/>
        </w:rPr>
        <w:t>项评审因素经评审均合理、可行的，得</w:t>
      </w:r>
      <w:r>
        <w:rPr>
          <w:rFonts w:hint="eastAsia" w:ascii="仿宋" w:hAnsi="仿宋" w:eastAsia="仿宋" w:cs="仿宋"/>
          <w:color w:val="auto"/>
          <w:sz w:val="21"/>
          <w:szCs w:val="21"/>
          <w:highlight w:val="none"/>
          <w:lang w:val="en-US" w:eastAsia="zh-CN"/>
        </w:rPr>
        <w:t>10</w:t>
      </w:r>
      <w:r>
        <w:rPr>
          <w:rFonts w:hint="eastAsia" w:ascii="仿宋" w:hAnsi="仿宋" w:eastAsia="仿宋" w:cs="仿宋"/>
          <w:color w:val="auto"/>
          <w:sz w:val="21"/>
          <w:szCs w:val="21"/>
          <w:highlight w:val="none"/>
        </w:rPr>
        <w:t>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2"/>
        <w:textAlignment w:val="baseline"/>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4.售后服务方案分……………………………………………………………………………</w:t>
      </w:r>
      <w:r>
        <w:rPr>
          <w:rFonts w:hint="eastAsia" w:ascii="仿宋" w:hAnsi="仿宋" w:eastAsia="仿宋" w:cs="仿宋"/>
          <w:b/>
          <w:color w:val="auto"/>
          <w:sz w:val="21"/>
          <w:szCs w:val="21"/>
          <w:highlight w:val="none"/>
          <w:lang w:val="en-US" w:eastAsia="zh-CN"/>
        </w:rPr>
        <w:t>10</w:t>
      </w:r>
      <w:r>
        <w:rPr>
          <w:rFonts w:hint="eastAsia" w:ascii="仿宋" w:hAnsi="仿宋" w:eastAsia="仿宋" w:cs="仿宋"/>
          <w:b/>
          <w:color w:val="auto"/>
          <w:sz w:val="21"/>
          <w:szCs w:val="21"/>
          <w:highlight w:val="none"/>
        </w:rPr>
        <w:t>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评委对投标人提供的售后服务方案内容（包含但不限于：①售后人员配备情况；②常见故障及解决方案；③培训方案；④保修期外维修方案；⑤其他实质性优惠措施等）进行独立评审并按以下规则独立打分：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一档：五项评审因素经评审有一项合理、可行的，得2分；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二档：五项评审因素经评审有二项合理、可行的，得4分；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三档：五项评审因素经评审有三项合理、可行的，得6分；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四档：五项评审因素经评审有四项合理、可行的，得8分；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五档：五项评审因素经评审均合理、可行的，得10分。</w:t>
      </w:r>
    </w:p>
    <w:p>
      <w:pPr>
        <w:pStyle w:val="6"/>
        <w:keepNext w:val="0"/>
        <w:keepLines w:val="0"/>
        <w:pageBreakBefore w:val="0"/>
        <w:widowControl/>
        <w:kinsoku w:val="0"/>
        <w:wordWrap/>
        <w:overflowPunct/>
        <w:topLinePunct w:val="0"/>
        <w:autoSpaceDE w:val="0"/>
        <w:autoSpaceDN w:val="0"/>
        <w:bidi w:val="0"/>
        <w:adjustRightInd w:val="0"/>
        <w:snapToGrid w:val="0"/>
        <w:spacing w:line="300" w:lineRule="exact"/>
        <w:ind w:left="0" w:firstLine="0" w:firstLineChars="0"/>
        <w:textAlignment w:val="baseline"/>
        <w:rPr>
          <w:rFonts w:hint="eastAsia" w:ascii="仿宋" w:hAnsi="仿宋" w:eastAsia="仿宋" w:cs="仿宋"/>
          <w:b/>
          <w:color w:val="auto"/>
          <w:kern w:val="2"/>
          <w:sz w:val="21"/>
          <w:szCs w:val="21"/>
          <w:highlight w:val="none"/>
          <w:lang w:val="en-US" w:eastAsia="zh-CN" w:bidi="ar-SA"/>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b/>
          <w:color w:val="auto"/>
          <w:kern w:val="2"/>
          <w:sz w:val="21"/>
          <w:szCs w:val="21"/>
          <w:highlight w:val="none"/>
          <w:lang w:val="en-US" w:eastAsia="zh-CN" w:bidi="ar-SA"/>
        </w:rPr>
        <w:t>5.履约能力分…………………………………………………………………………………3分</w:t>
      </w:r>
    </w:p>
    <w:p>
      <w:pPr>
        <w:pStyle w:val="7"/>
        <w:keepNext w:val="0"/>
        <w:keepLines w:val="0"/>
        <w:pageBreakBefore w:val="0"/>
        <w:widowControl/>
        <w:kinsoku w:val="0"/>
        <w:wordWrap/>
        <w:overflowPunct/>
        <w:topLinePunct w:val="0"/>
        <w:autoSpaceDE w:val="0"/>
        <w:autoSpaceDN w:val="0"/>
        <w:bidi w:val="0"/>
        <w:adjustRightInd w:val="0"/>
        <w:snapToGrid w:val="0"/>
        <w:spacing w:line="300" w:lineRule="exact"/>
        <w:ind w:firstLine="42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（1）投标人或核心产品生产厂家通过ISO9001质量管理体系认证</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ISO14001环境体系认证且有效的（投标人于投标文件中提供相关有效认证证书复印件并加盖投标人公章，否则，不予认可），</w:t>
      </w:r>
      <w:r>
        <w:rPr>
          <w:rFonts w:hint="eastAsia" w:ascii="仿宋" w:hAnsi="仿宋" w:eastAsia="仿宋" w:cs="仿宋"/>
          <w:color w:val="auto"/>
          <w:sz w:val="21"/>
          <w:szCs w:val="21"/>
          <w:highlight w:val="none"/>
          <w:lang w:eastAsia="zh-CN"/>
        </w:rPr>
        <w:t>每通过</w:t>
      </w:r>
      <w:r>
        <w:rPr>
          <w:rFonts w:hint="eastAsia" w:ascii="仿宋" w:hAnsi="仿宋" w:eastAsia="仿宋" w:cs="仿宋"/>
          <w:color w:val="auto"/>
          <w:sz w:val="21"/>
          <w:szCs w:val="21"/>
          <w:highlight w:val="none"/>
          <w:lang w:val="en-US" w:eastAsia="zh-CN"/>
        </w:rPr>
        <w:t>1项认证</w:t>
      </w:r>
      <w:r>
        <w:rPr>
          <w:rFonts w:hint="eastAsia" w:ascii="仿宋" w:hAnsi="仿宋" w:eastAsia="仿宋" w:cs="仿宋"/>
          <w:color w:val="auto"/>
          <w:sz w:val="21"/>
          <w:szCs w:val="21"/>
          <w:highlight w:val="none"/>
        </w:rPr>
        <w:t>得</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w:t>
      </w:r>
      <w:r>
        <w:rPr>
          <w:rFonts w:hint="eastAsia" w:ascii="仿宋" w:hAnsi="仿宋" w:eastAsia="仿宋" w:cs="仿宋"/>
          <w:color w:val="auto"/>
          <w:sz w:val="21"/>
          <w:szCs w:val="21"/>
          <w:highlight w:val="none"/>
          <w:lang w:eastAsia="zh-CN"/>
        </w:rPr>
        <w:t>，最多得</w:t>
      </w:r>
      <w:r>
        <w:rPr>
          <w:rFonts w:hint="eastAsia" w:ascii="仿宋" w:hAnsi="仿宋" w:eastAsia="仿宋" w:cs="仿宋"/>
          <w:color w:val="auto"/>
          <w:sz w:val="21"/>
          <w:szCs w:val="21"/>
          <w:highlight w:val="none"/>
          <w:lang w:val="en-US" w:eastAsia="zh-CN"/>
        </w:rPr>
        <w:t>2分</w:t>
      </w:r>
      <w:r>
        <w:rPr>
          <w:rFonts w:hint="eastAsia" w:ascii="仿宋" w:hAnsi="仿宋" w:eastAsia="仿宋" w:cs="仿宋"/>
          <w:color w:val="auto"/>
          <w:sz w:val="21"/>
          <w:szCs w:val="21"/>
          <w:highlight w:val="none"/>
        </w:rPr>
        <w:t>。</w:t>
      </w:r>
    </w:p>
    <w:p>
      <w:pPr>
        <w:pStyle w:val="36"/>
        <w:keepNext w:val="0"/>
        <w:keepLines w:val="0"/>
        <w:pageBreakBefore w:val="0"/>
        <w:widowControl/>
        <w:kinsoku w:val="0"/>
        <w:wordWrap/>
        <w:overflowPunct/>
        <w:topLinePunct w:val="0"/>
        <w:autoSpaceDE w:val="0"/>
        <w:autoSpaceDN w:val="0"/>
        <w:bidi w:val="0"/>
        <w:adjustRightInd w:val="0"/>
        <w:snapToGrid w:val="0"/>
        <w:spacing w:before="78" w:beforeLines="25" w:after="78" w:afterLines="25" w:line="300" w:lineRule="exact"/>
        <w:ind w:firstLineChars="0"/>
        <w:textAlignment w:val="baseline"/>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投标人自2022年以来具有核心产品同类产品销售业绩的【以投标人于投标文件中提供的销售合同或中标/成交通知书复印件为准（能清晰反映合同标的或中标/成交内容），加盖投标人公章，否则，不予认可】，每有1项业绩得0.5分，最多得</w:t>
      </w:r>
      <w:r>
        <w:rPr>
          <w:rFonts w:hint="eastAsia" w:ascii="仿宋" w:hAnsi="仿宋" w:eastAsia="仿宋" w:cs="仿宋"/>
          <w:b w:val="0"/>
          <w:bCs w:val="0"/>
          <w:i w:val="0"/>
          <w:iCs w:val="0"/>
          <w:strike w:val="0"/>
          <w:dstrike w:val="0"/>
          <w:color w:val="auto"/>
          <w:kern w:val="2"/>
          <w:sz w:val="21"/>
          <w:szCs w:val="21"/>
          <w:highlight w:val="none"/>
          <w:lang w:val="en-US" w:eastAsia="zh-CN" w:bidi="ar-SA"/>
        </w:rPr>
        <w:t>1</w:t>
      </w:r>
      <w:r>
        <w:rPr>
          <w:rFonts w:hint="eastAsia" w:ascii="仿宋" w:hAnsi="仿宋" w:eastAsia="仿宋" w:cs="仿宋"/>
          <w:color w:val="auto"/>
          <w:sz w:val="21"/>
          <w:szCs w:val="21"/>
          <w:highlight w:val="none"/>
        </w:rPr>
        <w:t>分。</w:t>
      </w:r>
    </w:p>
    <w:p>
      <w:pPr>
        <w:pStyle w:val="36"/>
        <w:keepNext w:val="0"/>
        <w:keepLines w:val="0"/>
        <w:pageBreakBefore w:val="0"/>
        <w:widowControl/>
        <w:kinsoku w:val="0"/>
        <w:wordWrap/>
        <w:overflowPunct/>
        <w:topLinePunct w:val="0"/>
        <w:autoSpaceDE w:val="0"/>
        <w:autoSpaceDN w:val="0"/>
        <w:bidi w:val="0"/>
        <w:adjustRightInd w:val="0"/>
        <w:snapToGrid w:val="0"/>
        <w:spacing w:before="78" w:beforeLines="25" w:after="78" w:afterLines="25" w:line="300" w:lineRule="exact"/>
        <w:ind w:firstLineChars="0"/>
        <w:textAlignment w:val="baseline"/>
        <w:rPr>
          <w:rFonts w:hint="eastAsia" w:ascii="仿宋" w:hAnsi="仿宋" w:eastAsia="仿宋" w:cs="仿宋"/>
          <w:sz w:val="28"/>
          <w:szCs w:val="28"/>
          <w:lang w:val="en-US" w:eastAsia="zh-CN"/>
        </w:rPr>
      </w:pPr>
      <w:r>
        <w:rPr>
          <w:rFonts w:hint="eastAsia" w:ascii="仿宋" w:hAnsi="仿宋" w:eastAsia="仿宋" w:cs="仿宋"/>
          <w:b/>
          <w:bCs/>
          <w:color w:val="auto"/>
          <w:sz w:val="21"/>
          <w:szCs w:val="21"/>
          <w:highlight w:val="none"/>
        </w:rPr>
        <w:t>总得分为以上各项评审因素得分合计。</w:t>
      </w:r>
      <w:bookmarkEnd w:id="6"/>
    </w:p>
    <w:sectPr>
      <w:pgSz w:w="11906" w:h="16838"/>
      <w:pgMar w:top="1440" w:right="1286" w:bottom="1440" w:left="13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rPr>
        <w:rFonts w:hint="eastAsia" w:ascii="宋体" w:hAnsi="宋体" w:cs="Times New Roman"/>
        <w:sz w:val="18"/>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118DF"/>
    <w:multiLevelType w:val="singleLevel"/>
    <w:tmpl w:val="917118DF"/>
    <w:lvl w:ilvl="0" w:tentative="0">
      <w:start w:val="1"/>
      <w:numFmt w:val="chineseCounting"/>
      <w:suff w:val="nothing"/>
      <w:lvlText w:val="%1、"/>
      <w:lvlJc w:val="left"/>
      <w:rPr>
        <w:rFonts w:hint="eastAsia"/>
      </w:rPr>
    </w:lvl>
  </w:abstractNum>
  <w:abstractNum w:abstractNumId="1">
    <w:nsid w:val="A22E1521"/>
    <w:multiLevelType w:val="singleLevel"/>
    <w:tmpl w:val="A22E1521"/>
    <w:lvl w:ilvl="0" w:tentative="0">
      <w:start w:val="1"/>
      <w:numFmt w:val="decimal"/>
      <w:lvlText w:val="%1."/>
      <w:lvlJc w:val="left"/>
      <w:pPr>
        <w:tabs>
          <w:tab w:val="left" w:pos="312"/>
        </w:tabs>
      </w:pPr>
    </w:lvl>
  </w:abstractNum>
  <w:abstractNum w:abstractNumId="2">
    <w:nsid w:val="17629737"/>
    <w:multiLevelType w:val="singleLevel"/>
    <w:tmpl w:val="17629737"/>
    <w:lvl w:ilvl="0" w:tentative="0">
      <w:start w:val="1"/>
      <w:numFmt w:val="decimal"/>
      <w:lvlText w:val="%1."/>
      <w:lvlJc w:val="left"/>
      <w:pPr>
        <w:tabs>
          <w:tab w:val="left" w:pos="312"/>
        </w:tabs>
      </w:pPr>
    </w:lvl>
  </w:abstractNum>
  <w:abstractNum w:abstractNumId="3">
    <w:nsid w:val="257A50AF"/>
    <w:multiLevelType w:val="singleLevel"/>
    <w:tmpl w:val="257A50AF"/>
    <w:lvl w:ilvl="0" w:tentative="0">
      <w:start w:val="7"/>
      <w:numFmt w:val="chineseCounting"/>
      <w:suff w:val="nothing"/>
      <w:lvlText w:val="%1、"/>
      <w:lvlJc w:val="left"/>
      <w:pPr>
        <w:ind w:left="188"/>
      </w:pPr>
      <w:rPr>
        <w:rFonts w:hint="eastAsia"/>
      </w:rPr>
    </w:lvl>
  </w:abstractNum>
  <w:abstractNum w:abstractNumId="4">
    <w:nsid w:val="411A2FE0"/>
    <w:multiLevelType w:val="singleLevel"/>
    <w:tmpl w:val="411A2FE0"/>
    <w:lvl w:ilvl="0" w:tentative="0">
      <w:start w:val="1"/>
      <w:numFmt w:val="chineseCounting"/>
      <w:suff w:val="nothing"/>
      <w:lvlText w:val="%1、"/>
      <w:lvlJc w:val="left"/>
      <w:rPr>
        <w:rFonts w:hint="eastAsia"/>
      </w:rPr>
    </w:lvl>
  </w:abstractNum>
  <w:abstractNum w:abstractNumId="5">
    <w:nsid w:val="614DD8C2"/>
    <w:multiLevelType w:val="singleLevel"/>
    <w:tmpl w:val="614DD8C2"/>
    <w:lvl w:ilvl="0" w:tentative="0">
      <w:start w:val="1"/>
      <w:numFmt w:val="decimal"/>
      <w:suff w:val="nothing"/>
      <w:lvlText w:val="%1、"/>
      <w:lvlJc w:val="left"/>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xZWRlODUyMWU0YjIxZjIzNTY4NDNjNzc4NGZkZWYifQ=="/>
  </w:docVars>
  <w:rsids>
    <w:rsidRoot w:val="001372A9"/>
    <w:rsid w:val="00063AD1"/>
    <w:rsid w:val="000C0EE2"/>
    <w:rsid w:val="001372A9"/>
    <w:rsid w:val="004B3ED1"/>
    <w:rsid w:val="005656CE"/>
    <w:rsid w:val="006621DF"/>
    <w:rsid w:val="008A5815"/>
    <w:rsid w:val="00944AA7"/>
    <w:rsid w:val="00E33F0F"/>
    <w:rsid w:val="00F03C0F"/>
    <w:rsid w:val="024C6AA0"/>
    <w:rsid w:val="0CAF61E5"/>
    <w:rsid w:val="0CE65E4F"/>
    <w:rsid w:val="0EAA60E0"/>
    <w:rsid w:val="0EF1121D"/>
    <w:rsid w:val="0F8B0FEF"/>
    <w:rsid w:val="144A7245"/>
    <w:rsid w:val="16D115C4"/>
    <w:rsid w:val="186D2AD0"/>
    <w:rsid w:val="18D03DBD"/>
    <w:rsid w:val="1A5E5307"/>
    <w:rsid w:val="1AA03E68"/>
    <w:rsid w:val="1B5767E5"/>
    <w:rsid w:val="1C204AFE"/>
    <w:rsid w:val="1CAC2742"/>
    <w:rsid w:val="1CB15B4D"/>
    <w:rsid w:val="229200EE"/>
    <w:rsid w:val="24400A52"/>
    <w:rsid w:val="26DA5DAF"/>
    <w:rsid w:val="29576FAC"/>
    <w:rsid w:val="2D1F7ACA"/>
    <w:rsid w:val="2F572D0F"/>
    <w:rsid w:val="2F9805D1"/>
    <w:rsid w:val="349D2836"/>
    <w:rsid w:val="38D92FF2"/>
    <w:rsid w:val="3BD3519D"/>
    <w:rsid w:val="3FEB52E3"/>
    <w:rsid w:val="425A6744"/>
    <w:rsid w:val="4349493C"/>
    <w:rsid w:val="45136EB1"/>
    <w:rsid w:val="4811580B"/>
    <w:rsid w:val="534E268B"/>
    <w:rsid w:val="5728063B"/>
    <w:rsid w:val="5FFE34F3"/>
    <w:rsid w:val="60B33F45"/>
    <w:rsid w:val="6181291F"/>
    <w:rsid w:val="62C77DFB"/>
    <w:rsid w:val="6577270C"/>
    <w:rsid w:val="6B4F3F91"/>
    <w:rsid w:val="6D0050F1"/>
    <w:rsid w:val="6E070B53"/>
    <w:rsid w:val="6EBF5078"/>
    <w:rsid w:val="6FAA4DE4"/>
    <w:rsid w:val="735C0F53"/>
    <w:rsid w:val="77530A8D"/>
    <w:rsid w:val="7D3C5B0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9"/>
    <w:pPr>
      <w:keepNext w:val="0"/>
      <w:keepLines w:val="0"/>
      <w:widowControl w:val="0"/>
      <w:spacing w:beforeLines="0" w:beforeAutospacing="0" w:afterLines="0" w:afterAutospacing="0" w:line="240" w:lineRule="auto"/>
      <w:jc w:val="center"/>
      <w:outlineLvl w:val="0"/>
    </w:pPr>
    <w:rPr>
      <w:rFonts w:ascii="黑体" w:hAnsi="黑体" w:eastAsia="黑体" w:cstheme="minorBidi"/>
      <w:kern w:val="0"/>
      <w:sz w:val="30"/>
    </w:rPr>
  </w:style>
  <w:style w:type="paragraph" w:styleId="4">
    <w:name w:val="heading 3"/>
    <w:basedOn w:val="1"/>
    <w:next w:val="1"/>
    <w:qFormat/>
    <w:uiPriority w:val="0"/>
    <w:pPr>
      <w:keepNext/>
      <w:keepLines/>
      <w:adjustRightInd/>
      <w:snapToGrid/>
      <w:spacing w:before="150" w:beforeLines="150" w:beforeAutospacing="0" w:after="50" w:afterLines="50" w:afterAutospacing="0" w:line="560" w:lineRule="exact"/>
      <w:jc w:val="center"/>
      <w:outlineLvl w:val="2"/>
    </w:pPr>
    <w:rPr>
      <w:rFonts w:ascii="Calibri" w:hAnsi="Calibri" w:eastAsia="宋体" w:cs="Times New Roman"/>
      <w:b/>
      <w:sz w:val="36"/>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6">
    <w:name w:val="index 8"/>
    <w:basedOn w:val="1"/>
    <w:next w:val="1"/>
    <w:qFormat/>
    <w:uiPriority w:val="0"/>
    <w:pPr>
      <w:spacing w:line="400" w:lineRule="exact"/>
      <w:ind w:left="2940" w:firstLine="1044" w:firstLineChars="200"/>
      <w:jc w:val="left"/>
    </w:pPr>
  </w:style>
  <w:style w:type="paragraph" w:styleId="7">
    <w:name w:val="Plain Text"/>
    <w:basedOn w:val="1"/>
    <w:next w:val="6"/>
    <w:qFormat/>
    <w:uiPriority w:val="0"/>
    <w:rPr>
      <w:rFonts w:ascii="宋体" w:hAnsi="Courier New" w:eastAsia="Arial" w:cs="Times New Roman"/>
      <w:snapToGrid w:val="0"/>
      <w:kern w:val="0"/>
      <w:szCs w:val="20"/>
    </w:rPr>
  </w:style>
  <w:style w:type="paragraph" w:styleId="8">
    <w:name w:val="Balloon Text"/>
    <w:basedOn w:val="1"/>
    <w:link w:val="17"/>
    <w:unhideWhenUsed/>
    <w:qFormat/>
    <w:uiPriority w:val="99"/>
    <w:rPr>
      <w:sz w:val="18"/>
      <w:szCs w:val="18"/>
    </w:r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39"/>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index 1"/>
    <w:basedOn w:val="1"/>
    <w:next w:val="1"/>
    <w:qFormat/>
    <w:uiPriority w:val="0"/>
  </w:style>
  <w:style w:type="table" w:styleId="15">
    <w:name w:val="Table Grid"/>
    <w:basedOn w:val="14"/>
    <w:qFormat/>
    <w:uiPriority w:val="0"/>
    <w:rPr>
      <w:rFonts w:ascii="Calibri" w:hAnsi="Calibri" w:eastAsia="宋体" w:cs="黑体"/>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批注框文本 Char"/>
    <w:link w:val="8"/>
    <w:semiHidden/>
    <w:qFormat/>
    <w:uiPriority w:val="99"/>
    <w:rPr>
      <w:rFonts w:ascii="Times New Roman" w:hAnsi="Times New Roman" w:eastAsia="宋体" w:cs="Times New Roman"/>
      <w:sz w:val="18"/>
      <w:szCs w:val="18"/>
    </w:rPr>
  </w:style>
  <w:style w:type="character" w:customStyle="1" w:styleId="18">
    <w:name w:val="页脚 Char"/>
    <w:link w:val="9"/>
    <w:qFormat/>
    <w:uiPriority w:val="99"/>
    <w:rPr>
      <w:sz w:val="18"/>
      <w:szCs w:val="18"/>
    </w:rPr>
  </w:style>
  <w:style w:type="character" w:customStyle="1" w:styleId="19">
    <w:name w:val="页眉 Char"/>
    <w:link w:val="10"/>
    <w:qFormat/>
    <w:uiPriority w:val="99"/>
    <w:rPr>
      <w:sz w:val="18"/>
      <w:szCs w:val="18"/>
    </w:rPr>
  </w:style>
  <w:style w:type="character" w:customStyle="1" w:styleId="20">
    <w:name w:val="font21"/>
    <w:basedOn w:val="16"/>
    <w:qFormat/>
    <w:uiPriority w:val="0"/>
    <w:rPr>
      <w:rFonts w:hint="eastAsia" w:ascii="仿宋" w:hAnsi="仿宋" w:eastAsia="仿宋" w:cs="仿宋"/>
      <w:color w:val="000000"/>
      <w:sz w:val="20"/>
      <w:szCs w:val="20"/>
      <w:u w:val="none"/>
    </w:rPr>
  </w:style>
  <w:style w:type="character" w:customStyle="1" w:styleId="21">
    <w:name w:val="font51"/>
    <w:basedOn w:val="16"/>
    <w:qFormat/>
    <w:uiPriority w:val="0"/>
    <w:rPr>
      <w:rFonts w:hint="eastAsia" w:ascii="仿宋" w:hAnsi="仿宋" w:eastAsia="仿宋" w:cs="仿宋"/>
      <w:color w:val="302010"/>
      <w:sz w:val="20"/>
      <w:szCs w:val="20"/>
      <w:u w:val="none"/>
    </w:rPr>
  </w:style>
  <w:style w:type="character" w:customStyle="1" w:styleId="22">
    <w:name w:val="font11"/>
    <w:basedOn w:val="16"/>
    <w:qFormat/>
    <w:uiPriority w:val="0"/>
    <w:rPr>
      <w:rFonts w:hint="eastAsia" w:ascii="仿宋" w:hAnsi="仿宋" w:eastAsia="仿宋" w:cs="仿宋"/>
      <w:color w:val="205070"/>
      <w:sz w:val="20"/>
      <w:szCs w:val="20"/>
      <w:u w:val="none"/>
    </w:rPr>
  </w:style>
  <w:style w:type="character" w:customStyle="1" w:styleId="23">
    <w:name w:val="font41"/>
    <w:basedOn w:val="16"/>
    <w:qFormat/>
    <w:uiPriority w:val="0"/>
    <w:rPr>
      <w:rFonts w:hint="eastAsia" w:ascii="仿宋" w:hAnsi="仿宋" w:eastAsia="仿宋" w:cs="仿宋"/>
      <w:color w:val="503040"/>
      <w:sz w:val="20"/>
      <w:szCs w:val="20"/>
      <w:u w:val="none"/>
    </w:rPr>
  </w:style>
  <w:style w:type="character" w:customStyle="1" w:styleId="24">
    <w:name w:val="font71"/>
    <w:basedOn w:val="16"/>
    <w:qFormat/>
    <w:uiPriority w:val="0"/>
    <w:rPr>
      <w:rFonts w:hint="eastAsia" w:ascii="仿宋" w:hAnsi="仿宋" w:eastAsia="仿宋" w:cs="仿宋"/>
      <w:color w:val="305040"/>
      <w:sz w:val="20"/>
      <w:szCs w:val="20"/>
      <w:u w:val="none"/>
    </w:rPr>
  </w:style>
  <w:style w:type="character" w:customStyle="1" w:styleId="25">
    <w:name w:val="font81"/>
    <w:basedOn w:val="16"/>
    <w:qFormat/>
    <w:uiPriority w:val="0"/>
    <w:rPr>
      <w:rFonts w:hint="eastAsia" w:ascii="仿宋" w:hAnsi="仿宋" w:eastAsia="仿宋" w:cs="仿宋"/>
      <w:color w:val="504020"/>
      <w:sz w:val="20"/>
      <w:szCs w:val="20"/>
      <w:u w:val="none"/>
    </w:rPr>
  </w:style>
  <w:style w:type="character" w:customStyle="1" w:styleId="26">
    <w:name w:val="font101"/>
    <w:basedOn w:val="16"/>
    <w:qFormat/>
    <w:uiPriority w:val="0"/>
    <w:rPr>
      <w:rFonts w:hint="eastAsia" w:ascii="仿宋" w:hAnsi="仿宋" w:eastAsia="仿宋" w:cs="仿宋"/>
      <w:color w:val="000000"/>
      <w:sz w:val="20"/>
      <w:szCs w:val="20"/>
      <w:u w:val="none"/>
    </w:rPr>
  </w:style>
  <w:style w:type="character" w:customStyle="1" w:styleId="27">
    <w:name w:val="font121"/>
    <w:basedOn w:val="16"/>
    <w:qFormat/>
    <w:uiPriority w:val="0"/>
    <w:rPr>
      <w:rFonts w:hint="eastAsia" w:ascii="仿宋" w:hAnsi="仿宋" w:eastAsia="仿宋" w:cs="仿宋"/>
      <w:b/>
      <w:bCs/>
      <w:color w:val="000000"/>
      <w:sz w:val="20"/>
      <w:szCs w:val="20"/>
      <w:u w:val="none"/>
    </w:rPr>
  </w:style>
  <w:style w:type="character" w:customStyle="1" w:styleId="28">
    <w:name w:val="font181"/>
    <w:basedOn w:val="16"/>
    <w:qFormat/>
    <w:uiPriority w:val="0"/>
    <w:rPr>
      <w:rFonts w:hint="eastAsia" w:ascii="仿宋" w:hAnsi="仿宋" w:eastAsia="仿宋" w:cs="仿宋"/>
      <w:color w:val="205070"/>
      <w:sz w:val="20"/>
      <w:szCs w:val="20"/>
      <w:u w:val="none"/>
    </w:rPr>
  </w:style>
  <w:style w:type="character" w:customStyle="1" w:styleId="29">
    <w:name w:val="font191"/>
    <w:basedOn w:val="16"/>
    <w:qFormat/>
    <w:uiPriority w:val="0"/>
    <w:rPr>
      <w:rFonts w:hint="eastAsia" w:ascii="仿宋" w:hAnsi="仿宋" w:eastAsia="仿宋" w:cs="仿宋"/>
      <w:color w:val="503040"/>
      <w:sz w:val="20"/>
      <w:szCs w:val="20"/>
      <w:u w:val="none"/>
    </w:rPr>
  </w:style>
  <w:style w:type="character" w:customStyle="1" w:styleId="30">
    <w:name w:val="font161"/>
    <w:basedOn w:val="16"/>
    <w:qFormat/>
    <w:uiPriority w:val="0"/>
    <w:rPr>
      <w:rFonts w:hint="eastAsia" w:ascii="仿宋" w:hAnsi="仿宋" w:eastAsia="仿宋" w:cs="仿宋"/>
      <w:color w:val="305040"/>
      <w:sz w:val="20"/>
      <w:szCs w:val="20"/>
      <w:u w:val="none"/>
    </w:rPr>
  </w:style>
  <w:style w:type="character" w:customStyle="1" w:styleId="31">
    <w:name w:val="font201"/>
    <w:basedOn w:val="16"/>
    <w:qFormat/>
    <w:uiPriority w:val="0"/>
    <w:rPr>
      <w:rFonts w:hint="eastAsia" w:ascii="仿宋" w:hAnsi="仿宋" w:eastAsia="仿宋" w:cs="仿宋"/>
      <w:color w:val="504020"/>
      <w:sz w:val="20"/>
      <w:szCs w:val="20"/>
      <w:u w:val="none"/>
    </w:rPr>
  </w:style>
  <w:style w:type="character" w:customStyle="1" w:styleId="32">
    <w:name w:val="font212"/>
    <w:basedOn w:val="16"/>
    <w:qFormat/>
    <w:uiPriority w:val="0"/>
    <w:rPr>
      <w:rFonts w:hint="eastAsia" w:ascii="宋体" w:hAnsi="宋体" w:eastAsia="宋体" w:cs="宋体"/>
      <w:color w:val="000000"/>
      <w:sz w:val="20"/>
      <w:szCs w:val="20"/>
      <w:u w:val="none"/>
    </w:rPr>
  </w:style>
  <w:style w:type="character" w:customStyle="1" w:styleId="33">
    <w:name w:val="font221"/>
    <w:basedOn w:val="16"/>
    <w:qFormat/>
    <w:uiPriority w:val="0"/>
    <w:rPr>
      <w:rFonts w:hint="eastAsia" w:ascii="宋体" w:hAnsi="宋体" w:eastAsia="宋体" w:cs="宋体"/>
      <w:color w:val="000000"/>
      <w:sz w:val="20"/>
      <w:szCs w:val="20"/>
      <w:u w:val="none"/>
    </w:rPr>
  </w:style>
  <w:style w:type="character" w:customStyle="1" w:styleId="34">
    <w:name w:val="font231"/>
    <w:basedOn w:val="16"/>
    <w:qFormat/>
    <w:uiPriority w:val="0"/>
    <w:rPr>
      <w:rFonts w:hint="eastAsia" w:ascii="宋体" w:hAnsi="宋体" w:eastAsia="宋体" w:cs="宋体"/>
      <w:color w:val="000000"/>
      <w:sz w:val="20"/>
      <w:szCs w:val="20"/>
      <w:u w:val="none"/>
    </w:rPr>
  </w:style>
  <w:style w:type="paragraph" w:customStyle="1" w:styleId="35">
    <w:name w:val="列出段落1"/>
    <w:basedOn w:val="1"/>
    <w:qFormat/>
    <w:uiPriority w:val="0"/>
    <w:pPr>
      <w:ind w:firstLine="420" w:firstLineChars="200"/>
    </w:pPr>
  </w:style>
  <w:style w:type="paragraph" w:customStyle="1" w:styleId="36">
    <w:name w:val="彩色列表 - 强调文字颜色 111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651</Words>
  <Characters>703</Characters>
  <Lines>4</Lines>
  <Paragraphs>1</Paragraphs>
  <TotalTime>12</TotalTime>
  <ScaleCrop>false</ScaleCrop>
  <LinksUpToDate>false</LinksUpToDate>
  <CharactersWithSpaces>709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2013-07-17T07:27:00Z</dcterms:created>
  <dc:creator>Administrator</dc:creator>
  <cp:lastModifiedBy>开往春天的手扶式拖拉机</cp:lastModifiedBy>
  <cp:lastPrinted>2026-10-22T02:02:00Z</cp:lastPrinted>
  <dcterms:modified xsi:type="dcterms:W3CDTF">2026-10-22T02:34:23Z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8D21734D7EF9450CB15016C0ED382884_13</vt:lpwstr>
  </property>
  <property fmtid="{D5CDD505-2E9C-101B-9397-08002B2CF9AE}" pid="4" name="KSOTemplateDocerSaveRecord">
    <vt:lpwstr>eyJoZGlkIjoiZWYzMWEzMzM0YjdiMmUzMDhiZTk1MGMxZmI3YjBmYzUiLCJ1c2VySWQiOiI1OTI5NDIxMDYifQ==</vt:lpwstr>
  </property>
</Properties>
</file>