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30F34A">
      <w:pPr>
        <w:pStyle w:val="17"/>
        <w:keepNext w:val="0"/>
        <w:keepLines w:val="0"/>
        <w:widowControl/>
        <w:suppressLineNumbers w:val="0"/>
        <w:spacing w:before="0" w:beforeAutospacing="0" w:after="0" w:afterAutospacing="0" w:line="520" w:lineRule="atLeast"/>
        <w:ind w:left="0" w:right="0" w:firstLine="181"/>
        <w:jc w:val="center"/>
        <w:rPr>
          <w:rStyle w:val="36"/>
          <w:rFonts w:hint="eastAsia" w:ascii="宋体" w:hAnsi="宋体"/>
          <w:b/>
          <w:sz w:val="30"/>
          <w:szCs w:val="30"/>
          <w:lang w:val="en-US" w:eastAsia="zh-CN"/>
        </w:rPr>
      </w:pPr>
      <w:bookmarkStart w:id="0" w:name="OLE_LINK4"/>
      <w:bookmarkStart w:id="1" w:name="OLE_LINK3"/>
      <w:bookmarkStart w:id="2" w:name="OLE_LINK1"/>
      <w:r>
        <w:rPr>
          <w:rStyle w:val="36"/>
          <w:rFonts w:hint="eastAsia" w:ascii="宋体" w:hAnsi="宋体"/>
          <w:b/>
          <w:sz w:val="30"/>
          <w:szCs w:val="30"/>
        </w:rPr>
        <w:t>桂林市中西</w:t>
      </w:r>
      <w:r>
        <w:rPr>
          <w:rStyle w:val="36"/>
          <w:rFonts w:hint="eastAsia" w:ascii="宋体" w:hAnsi="宋体"/>
          <w:b/>
          <w:sz w:val="30"/>
          <w:szCs w:val="30"/>
          <w:lang w:val="en-US" w:eastAsia="zh-CN"/>
        </w:rPr>
        <w:t>医</w:t>
      </w:r>
      <w:r>
        <w:rPr>
          <w:rStyle w:val="36"/>
          <w:rFonts w:hint="eastAsia" w:ascii="宋体" w:hAnsi="宋体"/>
          <w:b/>
          <w:sz w:val="30"/>
          <w:szCs w:val="30"/>
        </w:rPr>
        <w:t>结合医院</w:t>
      </w:r>
      <w:r>
        <w:rPr>
          <w:rStyle w:val="36"/>
          <w:rFonts w:hint="eastAsia" w:ascii="宋体" w:hAnsi="宋体"/>
          <w:b/>
          <w:sz w:val="30"/>
          <w:szCs w:val="30"/>
          <w:lang w:val="en-US" w:eastAsia="zh-CN"/>
        </w:rPr>
        <w:t>医疗护理员照护服务项目采购公告</w:t>
      </w:r>
    </w:p>
    <w:p w14:paraId="2CA488A2">
      <w:pPr>
        <w:pStyle w:val="17"/>
        <w:keepNext w:val="0"/>
        <w:keepLines w:val="0"/>
        <w:widowControl/>
        <w:suppressLineNumbers w:val="0"/>
        <w:spacing w:before="0" w:beforeAutospacing="0" w:after="0" w:afterAutospacing="0" w:line="520" w:lineRule="atLeast"/>
        <w:ind w:left="0" w:right="0" w:firstLine="181"/>
        <w:jc w:val="center"/>
        <w:rPr>
          <w:rStyle w:val="36"/>
          <w:rFonts w:hint="eastAsia" w:ascii="宋体" w:hAnsi="宋体"/>
          <w:b/>
          <w:sz w:val="30"/>
          <w:szCs w:val="30"/>
          <w:lang w:val="en-US" w:eastAsia="zh-CN"/>
        </w:rPr>
      </w:pPr>
    </w:p>
    <w:p w14:paraId="1B92074E">
      <w:pPr>
        <w:spacing w:line="360" w:lineRule="auto"/>
        <w:ind w:firstLine="420" w:firstLineChars="200"/>
        <w:jc w:val="both"/>
        <w:rPr>
          <w:rFonts w:hint="eastAsia" w:cs="宋体"/>
        </w:rPr>
      </w:pPr>
      <w:r>
        <w:rPr>
          <w:rFonts w:hint="eastAsia" w:cs="宋体"/>
          <w:lang w:val="en-US" w:eastAsia="zh-CN"/>
        </w:rPr>
        <w:t>为规范医院医疗护理员的管理，</w:t>
      </w:r>
      <w:r>
        <w:rPr>
          <w:rFonts w:hint="eastAsia" w:cs="宋体"/>
        </w:rPr>
        <w:t>我院拟</w:t>
      </w:r>
      <w:r>
        <w:rPr>
          <w:rFonts w:hint="eastAsia" w:cs="宋体"/>
          <w:lang w:val="en-US" w:eastAsia="zh-CN"/>
        </w:rPr>
        <w:t>对医疗护理员照护服务项目进行采购</w:t>
      </w:r>
      <w:r>
        <w:rPr>
          <w:rFonts w:hint="eastAsia" w:cs="宋体"/>
        </w:rPr>
        <w:t>，欢迎具有相应资质的单位前来报名，相关事项公告如下：</w:t>
      </w:r>
    </w:p>
    <w:p w14:paraId="3855A3A3">
      <w:pPr>
        <w:spacing w:line="360" w:lineRule="auto"/>
        <w:ind w:firstLine="422" w:firstLineChars="200"/>
        <w:jc w:val="both"/>
        <w:rPr>
          <w:rFonts w:hint="eastAsia" w:eastAsia="宋体" w:cs="宋体"/>
          <w:lang w:val="en-US" w:eastAsia="zh-CN"/>
        </w:rPr>
      </w:pPr>
      <w:r>
        <w:rPr>
          <w:b/>
          <w:bCs/>
          <w:color w:val="000000"/>
        </w:rPr>
        <w:t>一、项目名称：</w:t>
      </w:r>
      <w:r>
        <w:rPr>
          <w:rFonts w:hint="eastAsia"/>
          <w:b w:val="0"/>
          <w:bCs w:val="0"/>
          <w:color w:val="000000"/>
        </w:rPr>
        <w:t>桂林市中西</w:t>
      </w:r>
      <w:r>
        <w:rPr>
          <w:rFonts w:hint="eastAsia"/>
          <w:b w:val="0"/>
          <w:bCs w:val="0"/>
          <w:color w:val="000000"/>
          <w:lang w:val="en-US" w:eastAsia="zh-CN"/>
        </w:rPr>
        <w:t>医</w:t>
      </w:r>
      <w:r>
        <w:rPr>
          <w:rFonts w:hint="eastAsia"/>
          <w:b w:val="0"/>
          <w:bCs w:val="0"/>
          <w:color w:val="000000"/>
        </w:rPr>
        <w:t>结合医院</w:t>
      </w:r>
      <w:r>
        <w:rPr>
          <w:rFonts w:hint="eastAsia" w:cs="宋体"/>
          <w:lang w:val="en-US" w:eastAsia="zh-CN"/>
        </w:rPr>
        <w:t>医疗护理员照护服务项目</w:t>
      </w:r>
    </w:p>
    <w:p w14:paraId="1161FE18">
      <w:pPr>
        <w:spacing w:line="420" w:lineRule="exact"/>
        <w:ind w:firstLine="420"/>
        <w:jc w:val="both"/>
        <w:rPr>
          <w:rStyle w:val="36"/>
          <w:rFonts w:hint="eastAsia" w:ascii="宋体" w:hAnsi="宋体"/>
          <w:b/>
          <w:color w:val="000000"/>
          <w:szCs w:val="21"/>
        </w:rPr>
      </w:pPr>
      <w:r>
        <w:rPr>
          <w:rStyle w:val="36"/>
          <w:rFonts w:hint="eastAsia" w:ascii="宋体" w:hAnsi="宋体"/>
          <w:b/>
          <w:color w:val="000000"/>
          <w:szCs w:val="21"/>
          <w:lang w:val="en-US" w:eastAsia="zh-CN"/>
        </w:rPr>
        <w:t>二</w:t>
      </w:r>
      <w:r>
        <w:rPr>
          <w:rStyle w:val="36"/>
          <w:rFonts w:hint="eastAsia" w:ascii="宋体" w:hAnsi="宋体"/>
          <w:b/>
          <w:color w:val="000000"/>
          <w:szCs w:val="21"/>
        </w:rPr>
        <w:t>、</w:t>
      </w:r>
      <w:r>
        <w:rPr>
          <w:rStyle w:val="36"/>
          <w:rFonts w:hint="eastAsia" w:ascii="宋体" w:hAnsi="宋体"/>
          <w:b/>
          <w:color w:val="000000"/>
          <w:szCs w:val="21"/>
          <w:lang w:val="en-US" w:eastAsia="zh-CN"/>
        </w:rPr>
        <w:t>项目概况及要求</w:t>
      </w:r>
      <w:r>
        <w:rPr>
          <w:rStyle w:val="36"/>
          <w:rFonts w:hint="eastAsia" w:ascii="宋体" w:hAnsi="宋体"/>
          <w:b/>
          <w:color w:val="000000"/>
          <w:szCs w:val="21"/>
        </w:rPr>
        <w:t>：</w:t>
      </w:r>
    </w:p>
    <w:p w14:paraId="73CCE0F1">
      <w:pPr>
        <w:spacing w:line="420" w:lineRule="exact"/>
        <w:ind w:firstLine="420"/>
        <w:jc w:val="both"/>
        <w:rPr>
          <w:rStyle w:val="36"/>
          <w:rFonts w:hint="eastAsia" w:ascii="宋体" w:hAnsi="宋体"/>
          <w:b w:val="0"/>
          <w:bCs/>
          <w:color w:val="000000"/>
          <w:szCs w:val="21"/>
        </w:rPr>
      </w:pPr>
      <w:r>
        <w:rPr>
          <w:rStyle w:val="36"/>
          <w:rFonts w:hint="eastAsia" w:ascii="宋体" w:hAnsi="宋体"/>
          <w:b w:val="0"/>
          <w:bCs/>
          <w:color w:val="000000"/>
          <w:szCs w:val="21"/>
        </w:rPr>
        <w:t>（一）服务区域：需要免陪照护的病区。  </w:t>
      </w:r>
    </w:p>
    <w:p w14:paraId="155228DF">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w:t>
      </w:r>
      <w:r>
        <w:rPr>
          <w:rStyle w:val="36"/>
          <w:rFonts w:hint="eastAsia" w:ascii="宋体" w:hAnsi="宋体"/>
          <w:b w:val="0"/>
          <w:bCs/>
          <w:color w:val="000000"/>
          <w:szCs w:val="21"/>
          <w:lang w:val="en-US" w:eastAsia="zh-CN"/>
        </w:rPr>
        <w:t>二</w:t>
      </w:r>
      <w:r>
        <w:rPr>
          <w:rStyle w:val="36"/>
          <w:rFonts w:hint="eastAsia" w:ascii="宋体" w:hAnsi="宋体"/>
          <w:b w:val="0"/>
          <w:bCs/>
          <w:color w:val="000000"/>
          <w:szCs w:val="21"/>
        </w:rPr>
        <w:t>）合作模式：</w:t>
      </w:r>
      <w:r>
        <w:rPr>
          <w:rStyle w:val="36"/>
          <w:rFonts w:hint="eastAsia" w:ascii="宋体" w:hAnsi="宋体"/>
          <w:b w:val="0"/>
          <w:bCs/>
          <w:color w:val="000000"/>
          <w:sz w:val="21"/>
          <w:szCs w:val="21"/>
          <w:lang w:val="en-US" w:eastAsia="zh-CN"/>
        </w:rPr>
        <w:t>遴选一家公司</w:t>
      </w:r>
      <w:r>
        <w:rPr>
          <w:rStyle w:val="36"/>
          <w:rFonts w:hint="eastAsia" w:ascii="宋体" w:hAnsi="宋体"/>
          <w:b w:val="0"/>
          <w:bCs/>
          <w:color w:val="000000"/>
          <w:szCs w:val="21"/>
        </w:rPr>
        <w:t>为住院患者提供</w:t>
      </w:r>
      <w:r>
        <w:rPr>
          <w:rStyle w:val="36"/>
          <w:rFonts w:hint="eastAsia" w:ascii="宋体" w:hAnsi="宋体"/>
          <w:b w:val="0"/>
          <w:bCs/>
          <w:color w:val="000000"/>
          <w:szCs w:val="21"/>
          <w:lang w:val="en-US" w:eastAsia="zh-CN"/>
        </w:rPr>
        <w:t>有偿</w:t>
      </w:r>
      <w:r>
        <w:rPr>
          <w:rStyle w:val="36"/>
          <w:rFonts w:hint="eastAsia" w:ascii="宋体" w:hAnsi="宋体"/>
          <w:b w:val="0"/>
          <w:bCs/>
          <w:color w:val="000000"/>
          <w:szCs w:val="21"/>
        </w:rPr>
        <w:t>免陪照护</w:t>
      </w:r>
      <w:r>
        <w:rPr>
          <w:rStyle w:val="36"/>
          <w:rFonts w:hint="eastAsia" w:ascii="宋体" w:hAnsi="宋体"/>
          <w:b w:val="0"/>
          <w:bCs/>
          <w:color w:val="000000"/>
          <w:szCs w:val="21"/>
          <w:lang w:val="en-US" w:eastAsia="zh-CN"/>
        </w:rPr>
        <w:t>工作</w:t>
      </w:r>
      <w:r>
        <w:rPr>
          <w:rStyle w:val="36"/>
          <w:rFonts w:hint="eastAsia" w:ascii="宋体" w:hAnsi="宋体"/>
          <w:b w:val="0"/>
          <w:bCs/>
          <w:color w:val="000000"/>
          <w:szCs w:val="21"/>
        </w:rPr>
        <w:t>，按病区总数平均分配科室数，并根据运营效率进行动态调配。服务周期：合同签订之日起</w:t>
      </w:r>
      <w:r>
        <w:rPr>
          <w:rStyle w:val="36"/>
          <w:rFonts w:hint="eastAsia" w:ascii="宋体" w:hAnsi="宋体"/>
          <w:b w:val="0"/>
          <w:bCs/>
          <w:color w:val="000000"/>
          <w:szCs w:val="21"/>
          <w:lang w:val="en-US" w:eastAsia="zh-CN"/>
        </w:rPr>
        <w:t>一</w:t>
      </w:r>
      <w:r>
        <w:rPr>
          <w:rStyle w:val="36"/>
          <w:rFonts w:hint="eastAsia" w:ascii="宋体" w:hAnsi="宋体"/>
          <w:b w:val="0"/>
          <w:bCs/>
          <w:color w:val="000000"/>
          <w:szCs w:val="21"/>
        </w:rPr>
        <w:t>年。</w:t>
      </w:r>
    </w:p>
    <w:p w14:paraId="74970C3A">
      <w:pPr>
        <w:spacing w:line="420" w:lineRule="exact"/>
        <w:ind w:firstLine="420" w:firstLineChars="200"/>
        <w:jc w:val="both"/>
        <w:rPr>
          <w:rStyle w:val="36"/>
          <w:rFonts w:hint="eastAsia" w:ascii="宋体" w:hAnsi="宋体"/>
          <w:b w:val="0"/>
          <w:bCs/>
          <w:color w:val="000000"/>
          <w:sz w:val="21"/>
          <w:szCs w:val="21"/>
          <w:lang w:val="en-US" w:eastAsia="zh-CN"/>
        </w:rPr>
      </w:pPr>
      <w:r>
        <w:rPr>
          <w:rStyle w:val="36"/>
          <w:rFonts w:hint="eastAsia" w:ascii="宋体" w:hAnsi="宋体"/>
          <w:b w:val="0"/>
          <w:bCs/>
          <w:color w:val="000000"/>
          <w:sz w:val="21"/>
          <w:szCs w:val="21"/>
          <w:lang w:val="en-US" w:eastAsia="zh-CN"/>
        </w:rPr>
        <w:t>（三）服务采购需求：详见附件1。</w:t>
      </w:r>
    </w:p>
    <w:p w14:paraId="0327A633">
      <w:pPr>
        <w:spacing w:line="420" w:lineRule="exact"/>
        <w:ind w:left="315" w:leftChars="150" w:firstLine="99" w:firstLineChars="47"/>
        <w:jc w:val="both"/>
        <w:rPr>
          <w:rStyle w:val="36"/>
          <w:b/>
          <w:color w:val="000000"/>
          <w:szCs w:val="21"/>
        </w:rPr>
      </w:pPr>
      <w:r>
        <w:rPr>
          <w:rStyle w:val="36"/>
          <w:rFonts w:hint="eastAsia" w:ascii="宋体" w:hAnsi="宋体"/>
          <w:b/>
          <w:color w:val="000000"/>
          <w:szCs w:val="21"/>
          <w:lang w:val="en-US" w:eastAsia="zh-CN"/>
        </w:rPr>
        <w:t>三</w:t>
      </w:r>
      <w:r>
        <w:rPr>
          <w:rStyle w:val="36"/>
          <w:rFonts w:ascii="宋体" w:hAnsi="宋体"/>
          <w:b/>
          <w:color w:val="000000"/>
          <w:szCs w:val="21"/>
        </w:rPr>
        <w:t>、</w:t>
      </w:r>
      <w:r>
        <w:rPr>
          <w:rStyle w:val="36"/>
          <w:rFonts w:hint="eastAsia"/>
          <w:b/>
          <w:color w:val="000000"/>
          <w:szCs w:val="21"/>
        </w:rPr>
        <w:t>对</w:t>
      </w:r>
      <w:r>
        <w:rPr>
          <w:rStyle w:val="36"/>
          <w:rFonts w:hint="eastAsia"/>
          <w:b/>
          <w:color w:val="000000"/>
          <w:szCs w:val="21"/>
          <w:lang w:val="en-US" w:eastAsia="zh-CN"/>
        </w:rPr>
        <w:t>供应商</w:t>
      </w:r>
      <w:r>
        <w:rPr>
          <w:rStyle w:val="36"/>
          <w:rFonts w:hint="eastAsia"/>
          <w:b/>
          <w:color w:val="000000"/>
          <w:szCs w:val="21"/>
        </w:rPr>
        <w:t>要求</w:t>
      </w:r>
      <w:r>
        <w:rPr>
          <w:rStyle w:val="36"/>
          <w:b/>
          <w:color w:val="000000"/>
          <w:szCs w:val="21"/>
        </w:rPr>
        <w:t>：</w:t>
      </w:r>
    </w:p>
    <w:p w14:paraId="5B2E9EC1">
      <w:pPr>
        <w:spacing w:line="420" w:lineRule="exact"/>
        <w:ind w:left="315" w:leftChars="150" w:firstLine="98" w:firstLineChars="47"/>
        <w:jc w:val="both"/>
        <w:rPr>
          <w:rFonts w:hint="eastAsia" w:ascii="宋体" w:hAnsi="宋体" w:cs="宋体"/>
          <w:color w:val="000000"/>
          <w:szCs w:val="21"/>
        </w:rPr>
      </w:pPr>
      <w:r>
        <w:rPr>
          <w:rFonts w:hint="eastAsia" w:ascii="宋体" w:hAnsi="宋体" w:cs="宋体"/>
          <w:color w:val="000000"/>
          <w:szCs w:val="21"/>
        </w:rPr>
        <w:t>（一）符合《中华人民共和国政府采购法》第22条要求；</w:t>
      </w:r>
    </w:p>
    <w:p w14:paraId="6C066312">
      <w:pPr>
        <w:spacing w:line="420" w:lineRule="exact"/>
        <w:ind w:left="315" w:leftChars="150" w:firstLine="98" w:firstLineChars="47"/>
        <w:jc w:val="both"/>
        <w:rPr>
          <w:rFonts w:hint="eastAsia" w:ascii="宋体" w:hAnsi="宋体" w:cs="宋体"/>
          <w:color w:val="000000"/>
          <w:szCs w:val="21"/>
        </w:rPr>
      </w:pPr>
      <w:r>
        <w:rPr>
          <w:rFonts w:hint="eastAsia" w:ascii="宋体" w:hAnsi="宋体" w:cs="宋体"/>
          <w:color w:val="000000"/>
          <w:szCs w:val="21"/>
        </w:rPr>
        <w:t>（二）本次</w:t>
      </w:r>
      <w:r>
        <w:rPr>
          <w:rFonts w:hint="eastAsia" w:ascii="宋体" w:hAnsi="宋体" w:cs="宋体"/>
          <w:color w:val="000000"/>
          <w:szCs w:val="21"/>
          <w:lang w:eastAsia="zh-CN"/>
        </w:rPr>
        <w:t>招标</w:t>
      </w:r>
      <w:r>
        <w:rPr>
          <w:rFonts w:hint="eastAsia" w:ascii="宋体" w:hAnsi="宋体" w:cs="宋体"/>
          <w:color w:val="000000"/>
          <w:szCs w:val="21"/>
        </w:rPr>
        <w:t>不接受联合体</w:t>
      </w:r>
      <w:r>
        <w:rPr>
          <w:rFonts w:hint="eastAsia" w:ascii="宋体" w:hAnsi="宋体" w:cs="宋体"/>
          <w:color w:val="000000"/>
          <w:szCs w:val="21"/>
          <w:lang w:val="en-US" w:eastAsia="zh-CN"/>
        </w:rPr>
        <w:t>参加</w:t>
      </w:r>
      <w:r>
        <w:rPr>
          <w:rFonts w:hint="eastAsia" w:ascii="宋体" w:hAnsi="宋体" w:cs="宋体"/>
          <w:color w:val="000000"/>
          <w:szCs w:val="21"/>
        </w:rPr>
        <w:t>；</w:t>
      </w:r>
    </w:p>
    <w:p w14:paraId="4735AC73">
      <w:pPr>
        <w:spacing w:line="420" w:lineRule="exact"/>
        <w:ind w:left="315" w:leftChars="150" w:firstLine="98" w:firstLineChars="47"/>
        <w:jc w:val="both"/>
        <w:rPr>
          <w:rFonts w:hint="eastAsia" w:ascii="宋体" w:hAnsi="宋体" w:cs="宋体"/>
          <w:color w:val="000000"/>
          <w:szCs w:val="21"/>
        </w:rPr>
      </w:pPr>
      <w:r>
        <w:rPr>
          <w:rFonts w:hint="eastAsia" w:ascii="宋体" w:hAnsi="宋体" w:cs="宋体"/>
          <w:color w:val="000000"/>
          <w:szCs w:val="21"/>
        </w:rPr>
        <w:t>（三）本项目未经采购人许可不得转包、分包；</w:t>
      </w:r>
    </w:p>
    <w:p w14:paraId="4466243B">
      <w:pPr>
        <w:spacing w:line="420" w:lineRule="exact"/>
        <w:ind w:left="315" w:leftChars="150" w:firstLine="98" w:firstLineChars="47"/>
        <w:jc w:val="both"/>
        <w:rPr>
          <w:rFonts w:hint="eastAsia" w:ascii="宋体" w:hAnsi="宋体" w:cs="宋体"/>
          <w:color w:val="000000"/>
          <w:szCs w:val="21"/>
        </w:rPr>
      </w:pPr>
      <w:r>
        <w:rPr>
          <w:rFonts w:hint="eastAsia" w:ascii="宋体" w:hAnsi="宋体" w:cs="宋体"/>
          <w:color w:val="000000"/>
          <w:szCs w:val="21"/>
        </w:rPr>
        <w:t>（四）法定代表人（或股东）为同一个人的</w:t>
      </w:r>
      <w:r>
        <w:rPr>
          <w:rFonts w:hint="eastAsia" w:ascii="宋体" w:hAnsi="宋体" w:cs="宋体"/>
          <w:color w:val="000000"/>
          <w:szCs w:val="21"/>
          <w:lang w:eastAsia="zh-CN"/>
        </w:rPr>
        <w:t>供应商</w:t>
      </w:r>
      <w:r>
        <w:rPr>
          <w:rFonts w:hint="eastAsia" w:ascii="宋体" w:hAnsi="宋体" w:cs="宋体"/>
          <w:color w:val="000000"/>
          <w:szCs w:val="21"/>
        </w:rPr>
        <w:t>，或归属于同一个</w:t>
      </w:r>
      <w:r>
        <w:rPr>
          <w:rFonts w:hint="eastAsia" w:ascii="宋体" w:hAnsi="宋体" w:cs="宋体"/>
          <w:color w:val="000000"/>
          <w:szCs w:val="21"/>
          <w:lang w:eastAsia="zh-CN"/>
        </w:rPr>
        <w:t>供应商</w:t>
      </w:r>
      <w:r>
        <w:rPr>
          <w:rFonts w:hint="eastAsia" w:ascii="宋体" w:hAnsi="宋体" w:cs="宋体"/>
          <w:color w:val="000000"/>
          <w:szCs w:val="21"/>
        </w:rPr>
        <w:t>的母公司、全资子公司、控</w:t>
      </w:r>
    </w:p>
    <w:p w14:paraId="0F738AFF">
      <w:pPr>
        <w:spacing w:line="420" w:lineRule="exact"/>
        <w:jc w:val="both"/>
        <w:rPr>
          <w:rFonts w:hint="eastAsia" w:ascii="宋体" w:hAnsi="宋体" w:cs="宋体"/>
          <w:color w:val="000000"/>
          <w:szCs w:val="21"/>
        </w:rPr>
      </w:pPr>
      <w:r>
        <w:rPr>
          <w:rFonts w:hint="eastAsia" w:ascii="宋体" w:hAnsi="宋体" w:cs="宋体"/>
          <w:color w:val="000000"/>
          <w:szCs w:val="21"/>
        </w:rPr>
        <w:t>股公司、只能有一家参加同一项目的投标；</w:t>
      </w:r>
    </w:p>
    <w:p w14:paraId="2CBDC928">
      <w:pPr>
        <w:spacing w:line="420" w:lineRule="exact"/>
        <w:ind w:firstLine="420" w:firstLineChars="200"/>
        <w:jc w:val="both"/>
        <w:rPr>
          <w:rFonts w:hint="default" w:ascii="宋体" w:hAnsi="宋体" w:cs="宋体"/>
          <w:color w:val="000000"/>
          <w:szCs w:val="21"/>
          <w:lang w:val="en-US" w:eastAsia="zh-CN"/>
        </w:rPr>
      </w:pPr>
      <w:r>
        <w:rPr>
          <w:rFonts w:hint="eastAsia" w:ascii="宋体" w:hAnsi="宋体" w:cs="宋体"/>
          <w:color w:val="000000"/>
          <w:szCs w:val="21"/>
          <w:lang w:eastAsia="zh-CN"/>
        </w:rPr>
        <w:t>（</w:t>
      </w:r>
      <w:r>
        <w:rPr>
          <w:rFonts w:hint="eastAsia" w:ascii="宋体" w:hAnsi="宋体" w:cs="宋体"/>
          <w:color w:val="000000"/>
          <w:szCs w:val="21"/>
          <w:lang w:val="en-US" w:eastAsia="zh-CN"/>
        </w:rPr>
        <w:t>五</w:t>
      </w:r>
      <w:r>
        <w:rPr>
          <w:rFonts w:hint="eastAsia" w:ascii="宋体" w:hAnsi="宋体" w:cs="宋体"/>
          <w:color w:val="000000"/>
          <w:szCs w:val="21"/>
          <w:lang w:eastAsia="zh-CN"/>
        </w:rPr>
        <w:t>）经营范围</w:t>
      </w:r>
      <w:r>
        <w:rPr>
          <w:rFonts w:hint="eastAsia" w:ascii="宋体" w:hAnsi="宋体" w:cs="宋体"/>
          <w:color w:val="000000"/>
          <w:szCs w:val="21"/>
          <w:lang w:val="en-US" w:eastAsia="zh-CN"/>
        </w:rPr>
        <w:t>或资质需</w:t>
      </w:r>
      <w:r>
        <w:rPr>
          <w:rFonts w:hint="eastAsia" w:ascii="宋体" w:hAnsi="宋体" w:cs="宋体"/>
          <w:color w:val="000000"/>
          <w:szCs w:val="21"/>
          <w:lang w:eastAsia="zh-CN"/>
        </w:rPr>
        <w:t>符合项目</w:t>
      </w:r>
      <w:r>
        <w:rPr>
          <w:rFonts w:hint="eastAsia" w:ascii="宋体" w:hAnsi="宋体" w:cs="宋体"/>
          <w:color w:val="000000"/>
          <w:szCs w:val="21"/>
          <w:lang w:val="en-US" w:eastAsia="zh-CN"/>
        </w:rPr>
        <w:t>要求。</w:t>
      </w:r>
    </w:p>
    <w:p w14:paraId="7B0722D3">
      <w:pPr>
        <w:spacing w:line="420" w:lineRule="exact"/>
        <w:ind w:left="1080" w:leftChars="221" w:hanging="616" w:hangingChars="292"/>
        <w:jc w:val="both"/>
        <w:rPr>
          <w:rStyle w:val="36"/>
          <w:b/>
          <w:szCs w:val="21"/>
        </w:rPr>
      </w:pPr>
      <w:r>
        <w:rPr>
          <w:rStyle w:val="36"/>
          <w:rFonts w:hint="eastAsia"/>
          <w:b/>
          <w:szCs w:val="21"/>
          <w:lang w:val="en-US" w:eastAsia="zh-CN"/>
        </w:rPr>
        <w:t>四</w:t>
      </w:r>
      <w:r>
        <w:rPr>
          <w:rStyle w:val="36"/>
          <w:rFonts w:hint="eastAsia"/>
          <w:b/>
          <w:szCs w:val="21"/>
        </w:rPr>
        <w:t>、报名信息：</w:t>
      </w:r>
    </w:p>
    <w:p w14:paraId="19820668">
      <w:pPr>
        <w:spacing w:line="420" w:lineRule="exact"/>
        <w:ind w:firstLine="413" w:firstLineChars="197"/>
        <w:jc w:val="both"/>
        <w:rPr>
          <w:rFonts w:ascii="宋体" w:hAnsi="宋体" w:cs="宋体"/>
          <w:szCs w:val="21"/>
        </w:rPr>
      </w:pPr>
      <w:r>
        <w:rPr>
          <w:rFonts w:hint="eastAsia" w:ascii="宋体" w:hAnsi="宋体" w:cs="宋体"/>
          <w:szCs w:val="21"/>
        </w:rPr>
        <w:t>（一）现场报名时间：</w:t>
      </w:r>
      <w:r>
        <w:rPr>
          <w:rFonts w:ascii="宋体" w:hAnsi="宋体" w:cs="宋体"/>
          <w:szCs w:val="21"/>
        </w:rPr>
        <w:t>202</w:t>
      </w:r>
      <w:r>
        <w:rPr>
          <w:rFonts w:hint="eastAsia" w:ascii="宋体" w:hAnsi="宋体" w:cs="宋体"/>
          <w:szCs w:val="21"/>
          <w:lang w:val="en-US" w:eastAsia="zh-CN"/>
        </w:rPr>
        <w:t>6</w:t>
      </w:r>
      <w:r>
        <w:rPr>
          <w:rFonts w:hint="eastAsia" w:ascii="宋体" w:hAnsi="宋体" w:cs="宋体"/>
          <w:szCs w:val="21"/>
        </w:rPr>
        <w:t>年</w:t>
      </w:r>
      <w:r>
        <w:rPr>
          <w:rFonts w:hint="eastAsia" w:ascii="宋体" w:hAnsi="宋体" w:cs="宋体"/>
          <w:szCs w:val="21"/>
          <w:lang w:val="en-US" w:eastAsia="zh-CN"/>
        </w:rPr>
        <w:t>10</w:t>
      </w:r>
      <w:r>
        <w:rPr>
          <w:rFonts w:hint="eastAsia" w:ascii="宋体" w:hAnsi="宋体" w:cs="宋体"/>
          <w:szCs w:val="21"/>
        </w:rPr>
        <w:t>月</w:t>
      </w:r>
      <w:r>
        <w:rPr>
          <w:rFonts w:hint="eastAsia" w:ascii="宋体" w:hAnsi="宋体" w:cs="宋体"/>
          <w:szCs w:val="21"/>
          <w:lang w:val="en-US" w:eastAsia="zh-CN"/>
        </w:rPr>
        <w:t>26</w:t>
      </w:r>
      <w:r>
        <w:rPr>
          <w:rFonts w:hint="eastAsia" w:ascii="宋体" w:hAnsi="宋体" w:cs="宋体"/>
          <w:szCs w:val="21"/>
        </w:rPr>
        <w:t>日至</w:t>
      </w:r>
      <w:r>
        <w:rPr>
          <w:rFonts w:ascii="宋体" w:hAnsi="宋体" w:cs="宋体"/>
          <w:szCs w:val="21"/>
        </w:rPr>
        <w:t>202</w:t>
      </w:r>
      <w:r>
        <w:rPr>
          <w:rFonts w:hint="eastAsia" w:ascii="宋体" w:hAnsi="宋体" w:cs="宋体"/>
          <w:szCs w:val="21"/>
          <w:lang w:val="en-US" w:eastAsia="zh-CN"/>
        </w:rPr>
        <w:t>6</w:t>
      </w:r>
      <w:r>
        <w:rPr>
          <w:rFonts w:hint="eastAsia" w:ascii="宋体" w:hAnsi="宋体" w:cs="宋体"/>
          <w:szCs w:val="21"/>
        </w:rPr>
        <w:t>年</w:t>
      </w:r>
      <w:r>
        <w:rPr>
          <w:rFonts w:hint="eastAsia" w:ascii="宋体" w:hAnsi="宋体" w:cs="宋体"/>
          <w:szCs w:val="21"/>
          <w:lang w:val="en-US" w:eastAsia="zh-CN"/>
        </w:rPr>
        <w:t>10</w:t>
      </w:r>
      <w:r>
        <w:rPr>
          <w:rFonts w:hint="eastAsia" w:ascii="宋体" w:hAnsi="宋体" w:cs="宋体"/>
          <w:szCs w:val="21"/>
        </w:rPr>
        <w:t>月</w:t>
      </w:r>
      <w:r>
        <w:rPr>
          <w:rFonts w:hint="eastAsia" w:ascii="宋体" w:hAnsi="宋体" w:cs="宋体"/>
          <w:szCs w:val="21"/>
          <w:lang w:val="en-US" w:eastAsia="zh-CN"/>
        </w:rPr>
        <w:t>30</w:t>
      </w:r>
      <w:r>
        <w:rPr>
          <w:rFonts w:hint="eastAsia" w:ascii="宋体" w:hAnsi="宋体" w:cs="宋体"/>
          <w:szCs w:val="21"/>
        </w:rPr>
        <w:t>日（工作日上午8:00-</w:t>
      </w:r>
      <w:r>
        <w:rPr>
          <w:rFonts w:ascii="宋体" w:hAnsi="宋体" w:cs="宋体"/>
          <w:szCs w:val="21"/>
        </w:rPr>
        <w:t>12:00,</w:t>
      </w:r>
      <w:r>
        <w:rPr>
          <w:rFonts w:hint="eastAsia" w:ascii="宋体" w:hAnsi="宋体" w:cs="宋体"/>
          <w:szCs w:val="21"/>
        </w:rPr>
        <w:t>下午15:00-</w:t>
      </w:r>
      <w:r>
        <w:rPr>
          <w:rFonts w:ascii="宋体" w:hAnsi="宋体" w:cs="宋体"/>
          <w:szCs w:val="21"/>
        </w:rPr>
        <w:t>18</w:t>
      </w:r>
      <w:r>
        <w:rPr>
          <w:rFonts w:hint="eastAsia" w:ascii="宋体" w:hAnsi="宋体" w:cs="宋体"/>
          <w:szCs w:val="21"/>
        </w:rPr>
        <w:t>:00），逾期不再接收报名；（不接受邮件报名）</w:t>
      </w:r>
    </w:p>
    <w:p w14:paraId="7C976540">
      <w:pPr>
        <w:spacing w:line="420" w:lineRule="exact"/>
        <w:ind w:firstLine="413" w:firstLineChars="197"/>
        <w:jc w:val="both"/>
        <w:rPr>
          <w:rFonts w:ascii="宋体" w:hAnsi="宋体" w:cs="宋体"/>
          <w:szCs w:val="21"/>
        </w:rPr>
      </w:pPr>
      <w:r>
        <w:rPr>
          <w:rFonts w:hint="eastAsia" w:ascii="宋体" w:hAnsi="宋体" w:cs="宋体"/>
          <w:szCs w:val="21"/>
        </w:rPr>
        <w:t>（二）现场报名地点：桂林市七星区半塘路6号桂林市中西医结合医院9号楼4楼总务科五室；</w:t>
      </w:r>
    </w:p>
    <w:p w14:paraId="172B87A3">
      <w:pPr>
        <w:spacing w:line="420" w:lineRule="exact"/>
        <w:ind w:firstLine="413" w:firstLineChars="197"/>
        <w:jc w:val="both"/>
        <w:rPr>
          <w:rFonts w:ascii="宋体" w:hAnsi="宋体" w:cs="宋体"/>
          <w:b w:val="0"/>
          <w:bCs w:val="0"/>
          <w:szCs w:val="21"/>
        </w:rPr>
      </w:pPr>
      <w:r>
        <w:rPr>
          <w:rFonts w:hint="eastAsia" w:ascii="宋体" w:hAnsi="宋体" w:cs="宋体"/>
          <w:b w:val="0"/>
          <w:bCs w:val="0"/>
          <w:szCs w:val="21"/>
        </w:rPr>
        <w:t>（三）</w:t>
      </w:r>
      <w:r>
        <w:rPr>
          <w:rFonts w:hint="eastAsia" w:ascii="宋体" w:hAnsi="宋体" w:cs="宋体"/>
          <w:b w:val="0"/>
          <w:bCs w:val="0"/>
          <w:szCs w:val="21"/>
          <w:lang w:eastAsia="zh-CN"/>
        </w:rPr>
        <w:t>供应商</w:t>
      </w:r>
      <w:r>
        <w:rPr>
          <w:rFonts w:hint="eastAsia" w:ascii="宋体" w:hAnsi="宋体" w:cs="宋体"/>
          <w:b w:val="0"/>
          <w:bCs w:val="0"/>
          <w:szCs w:val="21"/>
        </w:rPr>
        <w:t>报名时须提供：</w:t>
      </w:r>
    </w:p>
    <w:p w14:paraId="7A04D3C5">
      <w:pPr>
        <w:spacing w:line="420" w:lineRule="exact"/>
        <w:ind w:firstLine="420" w:firstLineChars="200"/>
        <w:jc w:val="both"/>
        <w:rPr>
          <w:rFonts w:ascii="宋体" w:hAnsi="宋体" w:cs="宋体"/>
          <w:szCs w:val="21"/>
        </w:rPr>
      </w:pPr>
      <w:r>
        <w:rPr>
          <w:rFonts w:hint="eastAsia" w:ascii="宋体" w:hAnsi="宋体" w:cs="宋体"/>
          <w:szCs w:val="21"/>
        </w:rPr>
        <w:t>1.营业执照、法人身份证及受委托人身份证，以上文件需提供复印件并加盖单位公章，如是法人授权委托的须提供授权委托书原件并加盖公章；</w:t>
      </w:r>
      <w:r>
        <w:rPr>
          <w:rFonts w:ascii="宋体" w:hAnsi="宋体" w:cs="宋体"/>
          <w:szCs w:val="21"/>
        </w:rPr>
        <w:t xml:space="preserve"> </w:t>
      </w:r>
    </w:p>
    <w:p w14:paraId="35EFD4A8">
      <w:pPr>
        <w:spacing w:line="420" w:lineRule="exact"/>
        <w:ind w:firstLine="420" w:firstLineChars="200"/>
        <w:jc w:val="both"/>
        <w:rPr>
          <w:rFonts w:hint="eastAsia" w:ascii="宋体" w:hAnsi="宋体" w:eastAsia="宋体" w:cs="宋体"/>
          <w:szCs w:val="21"/>
          <w:lang w:eastAsia="zh-CN"/>
        </w:rPr>
      </w:pPr>
      <w:r>
        <w:rPr>
          <w:rFonts w:hint="eastAsia" w:ascii="宋体" w:hAnsi="宋体" w:cs="宋体"/>
          <w:szCs w:val="21"/>
        </w:rPr>
        <w:t>2.经营许可证、</w:t>
      </w:r>
      <w:r>
        <w:rPr>
          <w:rFonts w:hint="eastAsia" w:ascii="宋体" w:hAnsi="宋体" w:cs="宋体"/>
          <w:szCs w:val="21"/>
          <w:lang w:val="en-US" w:eastAsia="zh-CN"/>
        </w:rPr>
        <w:t>相关</w:t>
      </w:r>
      <w:r>
        <w:rPr>
          <w:rFonts w:hint="eastAsia" w:ascii="宋体" w:hAnsi="宋体" w:cs="宋体"/>
          <w:szCs w:val="21"/>
        </w:rPr>
        <w:t>资质证书</w:t>
      </w:r>
      <w:r>
        <w:rPr>
          <w:rFonts w:hint="eastAsia" w:ascii="宋体" w:hAnsi="宋体" w:cs="宋体"/>
          <w:szCs w:val="21"/>
          <w:lang w:eastAsia="zh-CN"/>
        </w:rPr>
        <w:t>；（</w:t>
      </w:r>
      <w:r>
        <w:rPr>
          <w:rFonts w:hint="eastAsia" w:ascii="宋体" w:hAnsi="宋体" w:cs="宋体"/>
          <w:szCs w:val="21"/>
          <w:lang w:val="en-US" w:eastAsia="zh-CN"/>
        </w:rPr>
        <w:t>如有请提供</w:t>
      </w:r>
      <w:r>
        <w:rPr>
          <w:rFonts w:hint="eastAsia" w:ascii="宋体" w:hAnsi="宋体" w:cs="宋体"/>
          <w:szCs w:val="21"/>
          <w:lang w:eastAsia="zh-CN"/>
        </w:rPr>
        <w:t>）</w:t>
      </w:r>
    </w:p>
    <w:p w14:paraId="423701E3">
      <w:pPr>
        <w:spacing w:line="420" w:lineRule="exact"/>
        <w:ind w:firstLine="420" w:firstLineChars="200"/>
        <w:jc w:val="both"/>
        <w:rPr>
          <w:rFonts w:ascii="宋体" w:hAnsi="宋体" w:cs="宋体"/>
          <w:szCs w:val="21"/>
        </w:rPr>
      </w:pPr>
      <w:r>
        <w:rPr>
          <w:rFonts w:hint="eastAsia" w:ascii="宋体" w:hAnsi="宋体" w:cs="宋体"/>
          <w:szCs w:val="21"/>
          <w:lang w:val="en-US" w:eastAsia="zh-CN"/>
        </w:rPr>
        <w:t>3</w:t>
      </w:r>
      <w:r>
        <w:rPr>
          <w:rFonts w:hint="eastAsia" w:ascii="宋体" w:hAnsi="宋体" w:cs="宋体"/>
          <w:szCs w:val="21"/>
        </w:rPr>
        <w:t>.近3年内无不良记录，无采取不合法方式解决合同纠纷记录证明或承诺声明（原件）加盖单位公章；</w:t>
      </w:r>
      <w:r>
        <w:rPr>
          <w:rFonts w:ascii="宋体" w:hAnsi="宋体" w:cs="宋体"/>
          <w:szCs w:val="21"/>
        </w:rPr>
        <w:t xml:space="preserve"> </w:t>
      </w:r>
    </w:p>
    <w:p w14:paraId="66EA8C49">
      <w:pPr>
        <w:spacing w:line="420" w:lineRule="exact"/>
        <w:ind w:firstLine="420" w:firstLineChars="200"/>
        <w:jc w:val="both"/>
        <w:rPr>
          <w:rFonts w:hint="eastAsia" w:ascii="宋体" w:hAnsi="宋体" w:cs="宋体"/>
          <w:szCs w:val="21"/>
        </w:rPr>
      </w:pPr>
      <w:r>
        <w:rPr>
          <w:rFonts w:hint="eastAsia" w:ascii="宋体" w:hAnsi="宋体" w:cs="宋体"/>
          <w:szCs w:val="21"/>
          <w:lang w:val="en-US" w:eastAsia="zh-CN"/>
        </w:rPr>
        <w:t>4</w:t>
      </w:r>
      <w:r>
        <w:rPr>
          <w:rFonts w:hint="eastAsia" w:ascii="宋体" w:hAnsi="宋体" w:cs="宋体"/>
          <w:szCs w:val="21"/>
        </w:rPr>
        <w:t>.提供在“信用中国”网站(</w:t>
      </w:r>
      <w:r>
        <w:fldChar w:fldCharType="begin"/>
      </w:r>
      <w:r>
        <w:instrText xml:space="preserve"> HYPERLINK "http://www.creditchina.gov.cn" </w:instrText>
      </w:r>
      <w:r>
        <w:fldChar w:fldCharType="separate"/>
      </w:r>
      <w:r>
        <w:rPr>
          <w:rStyle w:val="25"/>
          <w:rFonts w:hint="eastAsia" w:ascii="宋体" w:hAnsi="宋体" w:cs="宋体"/>
          <w:szCs w:val="21"/>
        </w:rPr>
        <w:t>www.creditchina.gov.cn</w:t>
      </w:r>
      <w:r>
        <w:rPr>
          <w:rStyle w:val="25"/>
          <w:rFonts w:hint="eastAsia" w:ascii="宋体" w:hAnsi="宋体" w:cs="宋体"/>
          <w:szCs w:val="21"/>
        </w:rPr>
        <w:fldChar w:fldCharType="end"/>
      </w:r>
      <w:r>
        <w:rPr>
          <w:rFonts w:hint="eastAsia" w:ascii="宋体" w:hAnsi="宋体" w:cs="宋体"/>
          <w:szCs w:val="21"/>
        </w:rPr>
        <w:t>)、中国政府采购网(www.ccgp.gov.cn)等渠道未被列入失信被执行人、重大税收违法案件当事人名单、政府采购严重违法失信行为记录名单的证明，</w:t>
      </w:r>
      <w:r>
        <w:rPr>
          <w:rFonts w:hint="eastAsia" w:ascii="宋体" w:hAnsi="宋体" w:cs="宋体"/>
          <w:szCs w:val="21"/>
          <w:lang w:eastAsia="zh-CN"/>
        </w:rPr>
        <w:t>（</w:t>
      </w:r>
      <w:r>
        <w:rPr>
          <w:rFonts w:hint="eastAsia" w:ascii="宋体" w:hAnsi="宋体" w:cs="宋体"/>
          <w:szCs w:val="21"/>
          <w:lang w:val="en-US" w:eastAsia="zh-CN"/>
        </w:rPr>
        <w:t>信用中国需要</w:t>
      </w:r>
      <w:r>
        <w:rPr>
          <w:rFonts w:hint="eastAsia" w:ascii="宋体" w:hAnsi="宋体" w:cs="宋体"/>
          <w:szCs w:val="21"/>
        </w:rPr>
        <w:t>下载</w:t>
      </w:r>
      <w:r>
        <w:rPr>
          <w:rFonts w:hint="eastAsia" w:ascii="宋体" w:hAnsi="宋体" w:cs="宋体"/>
          <w:szCs w:val="21"/>
          <w:lang w:val="en-US" w:eastAsia="zh-CN"/>
        </w:rPr>
        <w:t>完整信用信息报告并</w:t>
      </w:r>
      <w:r>
        <w:rPr>
          <w:rFonts w:hint="eastAsia" w:ascii="宋体" w:hAnsi="宋体" w:cs="宋体"/>
          <w:szCs w:val="21"/>
        </w:rPr>
        <w:t>打印</w:t>
      </w:r>
      <w:r>
        <w:rPr>
          <w:rFonts w:hint="eastAsia" w:ascii="宋体" w:hAnsi="宋体" w:cs="宋体"/>
          <w:szCs w:val="21"/>
          <w:lang w:eastAsia="zh-CN"/>
        </w:rPr>
        <w:t>）</w:t>
      </w:r>
      <w:r>
        <w:rPr>
          <w:rFonts w:hint="eastAsia" w:ascii="宋体" w:hAnsi="宋体" w:cs="宋体"/>
          <w:szCs w:val="21"/>
        </w:rPr>
        <w:t>。</w:t>
      </w:r>
    </w:p>
    <w:p w14:paraId="70A41982">
      <w:pPr>
        <w:spacing w:line="420" w:lineRule="exact"/>
        <w:ind w:firstLine="518" w:firstLineChars="247"/>
        <w:jc w:val="both"/>
        <w:rPr>
          <w:rFonts w:hint="eastAsia" w:ascii="宋体" w:hAnsi="宋体" w:cs="宋体"/>
          <w:szCs w:val="21"/>
          <w:lang w:eastAsia="zh-CN"/>
        </w:rPr>
      </w:pPr>
      <w:r>
        <w:rPr>
          <w:rFonts w:hint="eastAsia" w:ascii="宋体" w:hAnsi="宋体" w:cs="宋体"/>
          <w:szCs w:val="21"/>
          <w:lang w:val="en-US" w:eastAsia="zh-CN"/>
        </w:rPr>
        <w:t>5.以上报名文件需要逐页加盖公章。</w:t>
      </w:r>
    </w:p>
    <w:p w14:paraId="48C2D81D">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right="0" w:firstLine="482" w:firstLineChars="200"/>
        <w:jc w:val="both"/>
        <w:rPr>
          <w:rFonts w:hint="eastAsia" w:ascii="宋体" w:hAnsi="宋体" w:cs="宋体"/>
          <w:b/>
          <w:color w:val="000000"/>
          <w:szCs w:val="21"/>
        </w:rPr>
      </w:pPr>
      <w:r>
        <w:rPr>
          <w:rFonts w:hint="eastAsia" w:ascii="宋体" w:hAnsi="宋体" w:cs="宋体"/>
          <w:b/>
          <w:color w:val="000000"/>
          <w:szCs w:val="21"/>
          <w:lang w:val="en-US" w:eastAsia="zh-CN"/>
        </w:rPr>
        <w:t>五</w:t>
      </w:r>
      <w:r>
        <w:rPr>
          <w:rFonts w:hint="eastAsia" w:ascii="宋体" w:hAnsi="宋体" w:cs="宋体"/>
          <w:b/>
          <w:color w:val="000000"/>
          <w:szCs w:val="21"/>
        </w:rPr>
        <w:t>、报价要求</w:t>
      </w:r>
    </w:p>
    <w:p w14:paraId="5057619B">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right="0" w:firstLine="630" w:firstLineChars="300"/>
        <w:jc w:val="both"/>
        <w:rPr>
          <w:rFonts w:hint="default"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w:t>
      </w:r>
      <w:r>
        <w:rPr>
          <w:rFonts w:hint="eastAsia" w:asciiTheme="minorEastAsia" w:hAnsiTheme="minorEastAsia" w:eastAsiaTheme="minorEastAsia" w:cstheme="minorEastAsia"/>
          <w:sz w:val="21"/>
          <w:szCs w:val="21"/>
          <w:lang w:val="en-US" w:eastAsia="zh-CN"/>
        </w:rPr>
        <w:t>预算控制价：1至5项报价不得高于控制价，第6项报价不得低于控制价，详见下表。</w:t>
      </w:r>
      <w:r>
        <w:rPr>
          <w:rFonts w:hint="eastAsia" w:asciiTheme="minorEastAsia" w:hAnsiTheme="minorEastAsia" w:eastAsiaTheme="minorEastAsia" w:cstheme="minorEastAsia"/>
          <w:b/>
          <w:bCs/>
          <w:sz w:val="21"/>
          <w:szCs w:val="21"/>
          <w:lang w:val="en-US" w:eastAsia="zh-CN"/>
        </w:rPr>
        <w:t>报价不符合要求将取消评审资格。</w:t>
      </w:r>
    </w:p>
    <w:tbl>
      <w:tblPr>
        <w:tblStyle w:val="18"/>
        <w:tblpPr w:leftFromText="180" w:rightFromText="180" w:vertAnchor="text" w:horzAnchor="page" w:tblpXSpec="center" w:tblpY="448"/>
        <w:tblOverlap w:val="never"/>
        <w:tblW w:w="10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061"/>
        <w:gridCol w:w="1478"/>
        <w:gridCol w:w="1275"/>
        <w:gridCol w:w="986"/>
        <w:gridCol w:w="4857"/>
      </w:tblGrid>
      <w:tr w14:paraId="300E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5" w:type="dxa"/>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23290CB0">
            <w:pPr>
              <w:jc w:val="left"/>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序号</w:t>
            </w:r>
          </w:p>
        </w:tc>
        <w:tc>
          <w:tcPr>
            <w:tcW w:w="1061" w:type="dxa"/>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74611320">
            <w:pPr>
              <w:spacing w:line="300" w:lineRule="exact"/>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生活服务等级</w:t>
            </w:r>
          </w:p>
        </w:tc>
        <w:tc>
          <w:tcPr>
            <w:tcW w:w="1478" w:type="dxa"/>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1D272546">
            <w:pPr>
              <w:spacing w:line="300" w:lineRule="exact"/>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服务对象</w:t>
            </w:r>
          </w:p>
        </w:tc>
        <w:tc>
          <w:tcPr>
            <w:tcW w:w="1275" w:type="dxa"/>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70804DD8">
            <w:pPr>
              <w:spacing w:line="300" w:lineRule="exact"/>
              <w:jc w:val="center"/>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控制价</w:t>
            </w:r>
          </w:p>
        </w:tc>
        <w:tc>
          <w:tcPr>
            <w:tcW w:w="986" w:type="dxa"/>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0FA06E5D">
            <w:pPr>
              <w:spacing w:line="300" w:lineRule="exact"/>
              <w:jc w:val="center"/>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报价</w:t>
            </w:r>
          </w:p>
        </w:tc>
        <w:tc>
          <w:tcPr>
            <w:tcW w:w="4857" w:type="dxa"/>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1176FE13">
            <w:pPr>
              <w:spacing w:line="300" w:lineRule="exact"/>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服务内容</w:t>
            </w:r>
          </w:p>
        </w:tc>
      </w:tr>
      <w:tr w14:paraId="2238C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65" w:type="dxa"/>
            <w:tcBorders>
              <w:top w:val="single" w:color="auto" w:sz="4" w:space="0"/>
              <w:left w:val="single" w:color="auto" w:sz="4" w:space="0"/>
              <w:bottom w:val="single" w:color="auto" w:sz="4" w:space="0"/>
              <w:right w:val="single" w:color="auto" w:sz="4" w:space="0"/>
            </w:tcBorders>
            <w:vAlign w:val="center"/>
          </w:tcPr>
          <w:p w14:paraId="0D66A2B0">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061" w:type="dxa"/>
            <w:tcBorders>
              <w:top w:val="single" w:color="auto" w:sz="4" w:space="0"/>
              <w:left w:val="single" w:color="auto" w:sz="4" w:space="0"/>
              <w:bottom w:val="single" w:color="auto" w:sz="4" w:space="0"/>
              <w:right w:val="single" w:color="auto" w:sz="4" w:space="0"/>
            </w:tcBorders>
            <w:vAlign w:val="center"/>
          </w:tcPr>
          <w:p w14:paraId="5D02D1A8">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基础生活照护</w:t>
            </w:r>
          </w:p>
        </w:tc>
        <w:tc>
          <w:tcPr>
            <w:tcW w:w="1478" w:type="dxa"/>
            <w:tcBorders>
              <w:top w:val="single" w:color="auto" w:sz="4" w:space="0"/>
              <w:left w:val="single" w:color="auto" w:sz="4" w:space="0"/>
              <w:bottom w:val="single" w:color="auto" w:sz="4" w:space="0"/>
              <w:right w:val="single" w:color="auto" w:sz="4" w:space="0"/>
            </w:tcBorders>
            <w:vAlign w:val="center"/>
          </w:tcPr>
          <w:p w14:paraId="7B740B71">
            <w:pPr>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适用于病情稳定，生活能自理的患者，在确保服务质量为前提下，一名医疗护理员可服务多位患者。</w:t>
            </w:r>
          </w:p>
        </w:tc>
        <w:tc>
          <w:tcPr>
            <w:tcW w:w="1275" w:type="dxa"/>
            <w:tcBorders>
              <w:top w:val="single" w:color="auto" w:sz="4" w:space="0"/>
              <w:left w:val="single" w:color="auto" w:sz="4" w:space="0"/>
              <w:bottom w:val="single" w:color="auto" w:sz="4" w:space="0"/>
              <w:right w:val="single" w:color="auto" w:sz="4" w:space="0"/>
            </w:tcBorders>
            <w:vAlign w:val="center"/>
          </w:tcPr>
          <w:p w14:paraId="2304F2EF">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xml:space="preserve"> 15 </w:t>
            </w:r>
            <w:r>
              <w:rPr>
                <w:rFonts w:hint="eastAsia" w:asciiTheme="minorEastAsia" w:hAnsiTheme="minorEastAsia" w:eastAsiaTheme="minorEastAsia" w:cstheme="minorEastAsia"/>
                <w:color w:val="auto"/>
                <w:sz w:val="21"/>
                <w:szCs w:val="21"/>
                <w:highlight w:val="none"/>
              </w:rPr>
              <w:t>元/人/天</w:t>
            </w:r>
          </w:p>
        </w:tc>
        <w:tc>
          <w:tcPr>
            <w:tcW w:w="986" w:type="dxa"/>
            <w:tcBorders>
              <w:top w:val="single" w:color="auto" w:sz="4" w:space="0"/>
              <w:left w:val="single" w:color="auto" w:sz="4" w:space="0"/>
              <w:bottom w:val="single" w:color="auto" w:sz="4" w:space="0"/>
              <w:right w:val="single" w:color="auto" w:sz="4" w:space="0"/>
            </w:tcBorders>
            <w:vAlign w:val="center"/>
          </w:tcPr>
          <w:p w14:paraId="35AFD344">
            <w:pPr>
              <w:jc w:val="left"/>
              <w:rPr>
                <w:rFonts w:hint="eastAsia" w:asciiTheme="minorEastAsia" w:hAnsiTheme="minorEastAsia" w:eastAsiaTheme="minorEastAsia" w:cstheme="minorEastAsia"/>
                <w:color w:val="auto"/>
                <w:sz w:val="21"/>
                <w:szCs w:val="21"/>
                <w:highlight w:val="none"/>
              </w:rPr>
            </w:pPr>
          </w:p>
        </w:tc>
        <w:tc>
          <w:tcPr>
            <w:tcW w:w="4857" w:type="dxa"/>
            <w:tcBorders>
              <w:top w:val="single" w:color="auto" w:sz="4" w:space="0"/>
              <w:left w:val="single" w:color="auto" w:sz="4" w:space="0"/>
              <w:bottom w:val="single" w:color="auto" w:sz="4" w:space="0"/>
              <w:right w:val="single" w:color="auto" w:sz="4" w:space="0"/>
            </w:tcBorders>
            <w:vAlign w:val="center"/>
          </w:tcPr>
          <w:p w14:paraId="73525781">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1.提供与患者自理能力不足的照护需求相对应的服务内容，所有照护行为均需在医务人员指导下或经医务人员同意后进行。</w:t>
            </w:r>
          </w:p>
          <w:p w14:paraId="4DCAEE75">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2.定时巡视病房，协助患者解决临时生活护理问题。</w:t>
            </w:r>
          </w:p>
          <w:p w14:paraId="7AA684B1">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3.保持环境清洁、床单元规范。</w:t>
            </w:r>
          </w:p>
          <w:p w14:paraId="660E9D2B">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4.保持患者面部清洁、仪表整洁、剃须、修剪指/趾甲。</w:t>
            </w:r>
          </w:p>
          <w:p w14:paraId="622BF8DC">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5.协助送饭到床旁，协助患者饮食、饮水及餐后整理。</w:t>
            </w:r>
          </w:p>
          <w:p w14:paraId="745B984D">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6.在医务人员指导下，提醒患者及时服药、留取大小便标本。</w:t>
            </w:r>
          </w:p>
          <w:p w14:paraId="46DE4176">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7.协助做好睡眠照护，布置睡眠环境。</w:t>
            </w:r>
          </w:p>
          <w:p w14:paraId="35A165E4">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8.协助护士进行输液巡视。</w:t>
            </w:r>
          </w:p>
          <w:p w14:paraId="607CADEB">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9.需要时协助或陪同患者行外出检查。</w:t>
            </w:r>
          </w:p>
          <w:p w14:paraId="3C833E9B">
            <w:pPr>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10.需要时协助进行标本送检。</w:t>
            </w:r>
          </w:p>
        </w:tc>
      </w:tr>
      <w:tr w14:paraId="2686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3" w:hRule="atLeast"/>
        </w:trPr>
        <w:tc>
          <w:tcPr>
            <w:tcW w:w="665" w:type="dxa"/>
            <w:tcBorders>
              <w:top w:val="single" w:color="auto" w:sz="4" w:space="0"/>
              <w:left w:val="single" w:color="auto" w:sz="4" w:space="0"/>
              <w:bottom w:val="single" w:color="auto" w:sz="4" w:space="0"/>
              <w:right w:val="single" w:color="auto" w:sz="4" w:space="0"/>
            </w:tcBorders>
            <w:vAlign w:val="center"/>
          </w:tcPr>
          <w:p w14:paraId="34DB0AD9">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1061" w:type="dxa"/>
            <w:tcBorders>
              <w:top w:val="single" w:color="auto" w:sz="4" w:space="0"/>
              <w:left w:val="single" w:color="auto" w:sz="4" w:space="0"/>
              <w:bottom w:val="single" w:color="auto" w:sz="4" w:space="0"/>
              <w:right w:val="single" w:color="auto" w:sz="4" w:space="0"/>
            </w:tcBorders>
            <w:vAlign w:val="center"/>
          </w:tcPr>
          <w:p w14:paraId="530F2BCD">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二级生活照护</w:t>
            </w:r>
          </w:p>
        </w:tc>
        <w:tc>
          <w:tcPr>
            <w:tcW w:w="1478" w:type="dxa"/>
            <w:tcBorders>
              <w:top w:val="single" w:color="auto" w:sz="4" w:space="0"/>
              <w:left w:val="single" w:color="auto" w:sz="4" w:space="0"/>
              <w:bottom w:val="single" w:color="auto" w:sz="4" w:space="0"/>
              <w:right w:val="single" w:color="auto" w:sz="4" w:space="0"/>
            </w:tcBorders>
            <w:vAlign w:val="center"/>
          </w:tcPr>
          <w:p w14:paraId="20FC4421">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适用于病情稳定，存在或潜在存在生活自理能力部分不足的患者，在确保服务质量为前提下，一名医疗护理员可服务多位患者。</w:t>
            </w:r>
          </w:p>
        </w:tc>
        <w:tc>
          <w:tcPr>
            <w:tcW w:w="1275" w:type="dxa"/>
            <w:tcBorders>
              <w:top w:val="single" w:color="auto" w:sz="4" w:space="0"/>
              <w:left w:val="single" w:color="auto" w:sz="4" w:space="0"/>
              <w:bottom w:val="single" w:color="auto" w:sz="4" w:space="0"/>
              <w:right w:val="single" w:color="auto" w:sz="4" w:space="0"/>
            </w:tcBorders>
            <w:vAlign w:val="center"/>
          </w:tcPr>
          <w:p w14:paraId="1CFB3AD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xml:space="preserve"> 30 </w:t>
            </w:r>
            <w:r>
              <w:rPr>
                <w:rFonts w:hint="eastAsia" w:asciiTheme="minorEastAsia" w:hAnsiTheme="minorEastAsia" w:eastAsiaTheme="minorEastAsia" w:cstheme="minorEastAsia"/>
                <w:color w:val="auto"/>
                <w:sz w:val="21"/>
                <w:szCs w:val="21"/>
                <w:highlight w:val="none"/>
              </w:rPr>
              <w:t>元/人/天</w:t>
            </w:r>
          </w:p>
        </w:tc>
        <w:tc>
          <w:tcPr>
            <w:tcW w:w="986" w:type="dxa"/>
            <w:tcBorders>
              <w:top w:val="single" w:color="auto" w:sz="4" w:space="0"/>
              <w:left w:val="single" w:color="auto" w:sz="4" w:space="0"/>
              <w:bottom w:val="single" w:color="auto" w:sz="4" w:space="0"/>
              <w:right w:val="single" w:color="auto" w:sz="4" w:space="0"/>
            </w:tcBorders>
            <w:vAlign w:val="center"/>
          </w:tcPr>
          <w:p w14:paraId="7910D27F">
            <w:pPr>
              <w:widowControl/>
              <w:rPr>
                <w:rFonts w:hint="eastAsia" w:asciiTheme="minorEastAsia" w:hAnsiTheme="minorEastAsia" w:eastAsiaTheme="minorEastAsia" w:cstheme="minorEastAsia"/>
                <w:color w:val="auto"/>
                <w:sz w:val="21"/>
                <w:szCs w:val="21"/>
                <w:highlight w:val="none"/>
              </w:rPr>
            </w:pPr>
          </w:p>
        </w:tc>
        <w:tc>
          <w:tcPr>
            <w:tcW w:w="4857" w:type="dxa"/>
            <w:tcBorders>
              <w:top w:val="single" w:color="auto" w:sz="4" w:space="0"/>
              <w:left w:val="single" w:color="auto" w:sz="4" w:space="0"/>
              <w:bottom w:val="single" w:color="auto" w:sz="4" w:space="0"/>
              <w:right w:val="single" w:color="auto" w:sz="4" w:space="0"/>
            </w:tcBorders>
            <w:vAlign w:val="center"/>
          </w:tcPr>
          <w:p w14:paraId="5350F115">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1.在基础生活照护的基础上，提供与患者自理能力不足的照护需求相对应的</w:t>
            </w:r>
            <w:r>
              <w:rPr>
                <w:rFonts w:hint="eastAsia" w:asciiTheme="minorEastAsia" w:hAnsiTheme="minorEastAsia" w:eastAsiaTheme="minorEastAsia" w:cstheme="minorEastAsia"/>
                <w:color w:val="auto"/>
                <w:sz w:val="21"/>
                <w:szCs w:val="21"/>
                <w:highlight w:val="none"/>
                <w:lang w:val="en-US" w:eastAsia="zh-CN"/>
              </w:rPr>
              <w:t>辅助护理</w:t>
            </w:r>
            <w:r>
              <w:rPr>
                <w:rFonts w:hint="eastAsia" w:asciiTheme="minorEastAsia" w:hAnsiTheme="minorEastAsia" w:eastAsiaTheme="minorEastAsia" w:cstheme="minorEastAsia"/>
                <w:color w:val="auto"/>
                <w:sz w:val="21"/>
                <w:szCs w:val="21"/>
                <w:highlight w:val="none"/>
              </w:rPr>
              <w:t>服务内容，所有照护行为均需在医务人员指导下或经医务人员同意后进行。</w:t>
            </w:r>
          </w:p>
          <w:p w14:paraId="6CAF1AAB">
            <w:pPr>
              <w:widowControl/>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2.协助患者洗漱、服药、清洗餐具、上下床移动、清洁尿壶、便盆。</w:t>
            </w:r>
          </w:p>
        </w:tc>
      </w:tr>
      <w:tr w14:paraId="2E8D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665" w:type="dxa"/>
            <w:tcBorders>
              <w:top w:val="single" w:color="auto" w:sz="4" w:space="0"/>
              <w:left w:val="single" w:color="auto" w:sz="4" w:space="0"/>
              <w:bottom w:val="single" w:color="auto" w:sz="4" w:space="0"/>
              <w:right w:val="single" w:color="auto" w:sz="4" w:space="0"/>
            </w:tcBorders>
            <w:vAlign w:val="center"/>
          </w:tcPr>
          <w:p w14:paraId="594BFF34">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1061" w:type="dxa"/>
            <w:tcBorders>
              <w:top w:val="single" w:color="auto" w:sz="4" w:space="0"/>
              <w:left w:val="single" w:color="auto" w:sz="4" w:space="0"/>
              <w:bottom w:val="single" w:color="auto" w:sz="4" w:space="0"/>
              <w:right w:val="single" w:color="auto" w:sz="4" w:space="0"/>
            </w:tcBorders>
            <w:vAlign w:val="center"/>
          </w:tcPr>
          <w:p w14:paraId="18C8D14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一级生活照护</w:t>
            </w:r>
          </w:p>
        </w:tc>
        <w:tc>
          <w:tcPr>
            <w:tcW w:w="1478" w:type="dxa"/>
            <w:tcBorders>
              <w:top w:val="single" w:color="auto" w:sz="4" w:space="0"/>
              <w:left w:val="single" w:color="auto" w:sz="4" w:space="0"/>
              <w:bottom w:val="single" w:color="auto" w:sz="4" w:space="0"/>
              <w:right w:val="single" w:color="auto" w:sz="4" w:space="0"/>
            </w:tcBorders>
            <w:vAlign w:val="center"/>
          </w:tcPr>
          <w:p w14:paraId="25EC2436">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适用于病情较重，生活不能自理的患者，在确保服务质量为前提下，一名医疗护理员可服务多位患者。</w:t>
            </w:r>
          </w:p>
        </w:tc>
        <w:tc>
          <w:tcPr>
            <w:tcW w:w="1275" w:type="dxa"/>
            <w:tcBorders>
              <w:top w:val="single" w:color="auto" w:sz="4" w:space="0"/>
              <w:left w:val="single" w:color="auto" w:sz="4" w:space="0"/>
              <w:bottom w:val="single" w:color="auto" w:sz="4" w:space="0"/>
              <w:right w:val="single" w:color="auto" w:sz="4" w:space="0"/>
            </w:tcBorders>
            <w:vAlign w:val="center"/>
          </w:tcPr>
          <w:p w14:paraId="414F55A1">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xml:space="preserve"> 60 </w:t>
            </w:r>
            <w:r>
              <w:rPr>
                <w:rFonts w:hint="eastAsia" w:asciiTheme="minorEastAsia" w:hAnsiTheme="minorEastAsia" w:eastAsiaTheme="minorEastAsia" w:cstheme="minorEastAsia"/>
                <w:color w:val="auto"/>
                <w:sz w:val="21"/>
                <w:szCs w:val="21"/>
                <w:highlight w:val="none"/>
              </w:rPr>
              <w:t>元/人/天</w:t>
            </w:r>
          </w:p>
        </w:tc>
        <w:tc>
          <w:tcPr>
            <w:tcW w:w="986" w:type="dxa"/>
            <w:tcBorders>
              <w:top w:val="single" w:color="auto" w:sz="4" w:space="0"/>
              <w:left w:val="single" w:color="auto" w:sz="4" w:space="0"/>
              <w:bottom w:val="single" w:color="auto" w:sz="4" w:space="0"/>
              <w:right w:val="single" w:color="auto" w:sz="4" w:space="0"/>
            </w:tcBorders>
            <w:vAlign w:val="center"/>
          </w:tcPr>
          <w:p w14:paraId="37EEFD60">
            <w:pPr>
              <w:widowControl/>
              <w:rPr>
                <w:rFonts w:hint="eastAsia" w:asciiTheme="minorEastAsia" w:hAnsiTheme="minorEastAsia" w:eastAsiaTheme="minorEastAsia" w:cstheme="minorEastAsia"/>
                <w:color w:val="auto"/>
                <w:sz w:val="21"/>
                <w:szCs w:val="21"/>
                <w:highlight w:val="none"/>
              </w:rPr>
            </w:pPr>
          </w:p>
        </w:tc>
        <w:tc>
          <w:tcPr>
            <w:tcW w:w="4857" w:type="dxa"/>
            <w:tcBorders>
              <w:top w:val="single" w:color="auto" w:sz="4" w:space="0"/>
              <w:left w:val="single" w:color="auto" w:sz="4" w:space="0"/>
              <w:bottom w:val="single" w:color="auto" w:sz="4" w:space="0"/>
              <w:right w:val="single" w:color="auto" w:sz="4" w:space="0"/>
            </w:tcBorders>
            <w:vAlign w:val="center"/>
          </w:tcPr>
          <w:p w14:paraId="10073263">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1.在二级生活照护的基础上，提供与患者自理能力不足的照护需求相对应的</w:t>
            </w:r>
            <w:r>
              <w:rPr>
                <w:rFonts w:hint="eastAsia" w:asciiTheme="minorEastAsia" w:hAnsiTheme="minorEastAsia" w:eastAsiaTheme="minorEastAsia" w:cstheme="minorEastAsia"/>
                <w:color w:val="auto"/>
                <w:sz w:val="21"/>
                <w:szCs w:val="21"/>
                <w:highlight w:val="none"/>
                <w:lang w:val="en-US" w:eastAsia="zh-CN"/>
              </w:rPr>
              <w:t>辅助护理</w:t>
            </w:r>
            <w:r>
              <w:rPr>
                <w:rFonts w:hint="eastAsia" w:asciiTheme="minorEastAsia" w:hAnsiTheme="minorEastAsia" w:eastAsiaTheme="minorEastAsia" w:cstheme="minorEastAsia"/>
                <w:color w:val="auto"/>
                <w:sz w:val="21"/>
                <w:szCs w:val="21"/>
                <w:highlight w:val="none"/>
              </w:rPr>
              <w:t>服务内容，所有照护行为均需在医务人员指导下或经医务人员同意后进行。</w:t>
            </w:r>
          </w:p>
          <w:p w14:paraId="31003BE7">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2.协助患者坐浴、洗脚、泡脚、擦浴、穿脱衣服。</w:t>
            </w:r>
          </w:p>
          <w:p w14:paraId="46A1EB67">
            <w:pPr>
              <w:widowControl/>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3.协助如厕、大小便护理。</w:t>
            </w:r>
          </w:p>
        </w:tc>
      </w:tr>
      <w:tr w14:paraId="6D265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665" w:type="dxa"/>
            <w:vMerge w:val="restart"/>
            <w:tcBorders>
              <w:top w:val="single" w:color="auto" w:sz="4" w:space="0"/>
              <w:left w:val="single" w:color="auto" w:sz="4" w:space="0"/>
              <w:right w:val="single" w:color="auto" w:sz="4" w:space="0"/>
            </w:tcBorders>
            <w:vAlign w:val="center"/>
          </w:tcPr>
          <w:p w14:paraId="3522EDD0">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1061" w:type="dxa"/>
            <w:vMerge w:val="restart"/>
            <w:tcBorders>
              <w:top w:val="single" w:color="auto" w:sz="4" w:space="0"/>
              <w:left w:val="single" w:color="auto" w:sz="4" w:space="0"/>
              <w:right w:val="single" w:color="auto" w:sz="4" w:space="0"/>
            </w:tcBorders>
            <w:vAlign w:val="center"/>
          </w:tcPr>
          <w:p w14:paraId="168D2370">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班组制生活照护</w:t>
            </w:r>
          </w:p>
        </w:tc>
        <w:tc>
          <w:tcPr>
            <w:tcW w:w="1478" w:type="dxa"/>
            <w:vMerge w:val="restart"/>
            <w:tcBorders>
              <w:top w:val="single" w:color="auto" w:sz="4" w:space="0"/>
              <w:left w:val="single" w:color="auto" w:sz="4" w:space="0"/>
              <w:right w:val="single" w:color="auto" w:sz="4" w:space="0"/>
            </w:tcBorders>
            <w:vAlign w:val="center"/>
          </w:tcPr>
          <w:p w14:paraId="3A68D275">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适用于病情危重的患者或家属有特殊照护服务要求者。</w:t>
            </w:r>
          </w:p>
          <w:p w14:paraId="525107E9">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在确保服务质量为前提下，一名医疗护理员服务患者人数不超过</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人。</w:t>
            </w:r>
          </w:p>
        </w:tc>
        <w:tc>
          <w:tcPr>
            <w:tcW w:w="1275" w:type="dxa"/>
            <w:tcBorders>
              <w:top w:val="single" w:color="auto" w:sz="4" w:space="0"/>
              <w:left w:val="single" w:color="auto" w:sz="4" w:space="0"/>
              <w:bottom w:val="single" w:color="auto" w:sz="4" w:space="0"/>
              <w:right w:val="single" w:color="auto" w:sz="4" w:space="0"/>
            </w:tcBorders>
            <w:vAlign w:val="center"/>
          </w:tcPr>
          <w:p w14:paraId="7AC22383">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A级：一对</w:t>
            </w:r>
            <w:r>
              <w:rPr>
                <w:rFonts w:hint="eastAsia" w:asciiTheme="minorEastAsia" w:hAnsiTheme="minorEastAsia" w:eastAsiaTheme="minorEastAsia" w:cstheme="minorEastAsia"/>
                <w:color w:val="auto"/>
                <w:sz w:val="21"/>
                <w:szCs w:val="21"/>
                <w:highlight w:val="none"/>
                <w:lang w:val="en-US" w:eastAsia="zh-CN"/>
              </w:rPr>
              <w:t>五：</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8</w:t>
            </w:r>
            <w:r>
              <w:rPr>
                <w:rFonts w:hint="eastAsia" w:asciiTheme="minorEastAsia" w:hAnsiTheme="minorEastAsia" w:eastAsiaTheme="minorEastAsia" w:cstheme="minorEastAsia"/>
                <w:color w:val="auto"/>
                <w:sz w:val="21"/>
                <w:szCs w:val="21"/>
                <w:highlight w:val="none"/>
                <w:u w:val="single"/>
              </w:rPr>
              <w:t xml:space="preserve">0 </w:t>
            </w:r>
            <w:r>
              <w:rPr>
                <w:rFonts w:hint="eastAsia" w:asciiTheme="minorEastAsia" w:hAnsiTheme="minorEastAsia" w:eastAsiaTheme="minorEastAsia" w:cstheme="minorEastAsia"/>
                <w:color w:val="auto"/>
                <w:sz w:val="21"/>
                <w:szCs w:val="21"/>
                <w:highlight w:val="none"/>
              </w:rPr>
              <w:t>元/人/天</w:t>
            </w:r>
          </w:p>
        </w:tc>
        <w:tc>
          <w:tcPr>
            <w:tcW w:w="986" w:type="dxa"/>
            <w:tcBorders>
              <w:top w:val="single" w:color="auto" w:sz="4" w:space="0"/>
              <w:left w:val="single" w:color="auto" w:sz="4" w:space="0"/>
              <w:right w:val="single" w:color="auto" w:sz="4" w:space="0"/>
            </w:tcBorders>
            <w:vAlign w:val="center"/>
          </w:tcPr>
          <w:p w14:paraId="4BBC10E5">
            <w:pPr>
              <w:rPr>
                <w:rFonts w:hint="eastAsia" w:asciiTheme="minorEastAsia" w:hAnsiTheme="minorEastAsia" w:eastAsiaTheme="minorEastAsia" w:cstheme="minorEastAsia"/>
                <w:color w:val="auto"/>
                <w:sz w:val="21"/>
                <w:szCs w:val="21"/>
                <w:highlight w:val="none"/>
              </w:rPr>
            </w:pPr>
          </w:p>
        </w:tc>
        <w:tc>
          <w:tcPr>
            <w:tcW w:w="4857" w:type="dxa"/>
            <w:vMerge w:val="restart"/>
            <w:tcBorders>
              <w:top w:val="single" w:color="auto" w:sz="4" w:space="0"/>
              <w:left w:val="single" w:color="auto" w:sz="4" w:space="0"/>
              <w:right w:val="single" w:color="auto" w:sz="4" w:space="0"/>
            </w:tcBorders>
            <w:vAlign w:val="center"/>
          </w:tcPr>
          <w:p w14:paraId="58CB878A">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1.提供与患者自理能力不足的照护需求相对应的</w:t>
            </w:r>
            <w:r>
              <w:rPr>
                <w:rFonts w:hint="eastAsia" w:asciiTheme="minorEastAsia" w:hAnsiTheme="minorEastAsia" w:eastAsiaTheme="minorEastAsia" w:cstheme="minorEastAsia"/>
                <w:color w:val="auto"/>
                <w:sz w:val="21"/>
                <w:szCs w:val="21"/>
                <w:highlight w:val="none"/>
                <w:lang w:val="en-US" w:eastAsia="zh-CN"/>
              </w:rPr>
              <w:t>辅助护理</w:t>
            </w:r>
            <w:r>
              <w:rPr>
                <w:rFonts w:hint="eastAsia" w:asciiTheme="minorEastAsia" w:hAnsiTheme="minorEastAsia" w:eastAsiaTheme="minorEastAsia" w:cstheme="minorEastAsia"/>
                <w:color w:val="auto"/>
                <w:sz w:val="21"/>
                <w:szCs w:val="21"/>
                <w:highlight w:val="none"/>
              </w:rPr>
              <w:t>服务内容，所有照护行为均需在医务人员指导下或经医务人员同意后进行。</w:t>
            </w:r>
          </w:p>
          <w:p w14:paraId="4A7F0E46">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2.定时巡视病房，协助患者解决临时生活护理问题。</w:t>
            </w:r>
          </w:p>
          <w:p w14:paraId="7880ECBD">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3.保持环境清洁、床单元规范。</w:t>
            </w:r>
          </w:p>
          <w:p w14:paraId="4D0ADEE5">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4.保持患者面部清洁、仪表整洁。</w:t>
            </w:r>
          </w:p>
          <w:p w14:paraId="6E3BB6AD">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5.协助送饭到床旁，协助患者饮食、饮水及餐后整理。</w:t>
            </w:r>
          </w:p>
          <w:p w14:paraId="1B92234B">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6.在医务人员指导下，提醒患者及时服药、留取大小便标本。</w:t>
            </w:r>
          </w:p>
          <w:p w14:paraId="0EAD790B">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7.协助做好睡眠照护，布置睡眠环境。</w:t>
            </w:r>
          </w:p>
          <w:p w14:paraId="295AC2A6">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8.协助护士进行输液巡视。</w:t>
            </w:r>
          </w:p>
          <w:p w14:paraId="00B7B3A0">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9.需要时协助或陪同患者行外出检查。</w:t>
            </w:r>
          </w:p>
          <w:p w14:paraId="2E2C1F7D">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10.需要时协助进行标本送检。</w:t>
            </w:r>
          </w:p>
          <w:p w14:paraId="4340AFB8">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11.协助患者洗漱、服药、上下床移动、清洁尿壶、便盆。</w:t>
            </w:r>
          </w:p>
          <w:p w14:paraId="45F52218">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12.协助患者坐浴、洗脚、泡脚、洗澡、擦浴、上下床移动、穿脱衣服、清洗餐具。</w:t>
            </w:r>
          </w:p>
          <w:p w14:paraId="1D155F1F">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13.协助如厕、大小便护理。</w:t>
            </w:r>
          </w:p>
        </w:tc>
      </w:tr>
      <w:tr w14:paraId="21E69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665" w:type="dxa"/>
            <w:vMerge w:val="continue"/>
            <w:tcBorders>
              <w:left w:val="single" w:color="auto" w:sz="4" w:space="0"/>
              <w:right w:val="single" w:color="auto" w:sz="4" w:space="0"/>
            </w:tcBorders>
            <w:vAlign w:val="center"/>
          </w:tcPr>
          <w:p w14:paraId="7A3AFBBE">
            <w:pPr>
              <w:jc w:val="center"/>
              <w:rPr>
                <w:rFonts w:hint="eastAsia" w:asciiTheme="minorEastAsia" w:hAnsiTheme="minorEastAsia" w:eastAsiaTheme="minorEastAsia" w:cstheme="minorEastAsia"/>
                <w:color w:val="auto"/>
                <w:sz w:val="21"/>
                <w:szCs w:val="21"/>
                <w:highlight w:val="none"/>
              </w:rPr>
            </w:pPr>
          </w:p>
        </w:tc>
        <w:tc>
          <w:tcPr>
            <w:tcW w:w="1061" w:type="dxa"/>
            <w:vMerge w:val="continue"/>
            <w:tcBorders>
              <w:left w:val="single" w:color="auto" w:sz="4" w:space="0"/>
              <w:right w:val="single" w:color="auto" w:sz="4" w:space="0"/>
            </w:tcBorders>
            <w:vAlign w:val="center"/>
          </w:tcPr>
          <w:p w14:paraId="6A76131F">
            <w:pPr>
              <w:rPr>
                <w:rFonts w:hint="eastAsia" w:asciiTheme="minorEastAsia" w:hAnsiTheme="minorEastAsia" w:eastAsiaTheme="minorEastAsia" w:cstheme="minorEastAsia"/>
                <w:color w:val="auto"/>
                <w:sz w:val="21"/>
                <w:szCs w:val="21"/>
                <w:highlight w:val="none"/>
              </w:rPr>
            </w:pPr>
          </w:p>
        </w:tc>
        <w:tc>
          <w:tcPr>
            <w:tcW w:w="1478" w:type="dxa"/>
            <w:vMerge w:val="continue"/>
            <w:tcBorders>
              <w:left w:val="single" w:color="auto" w:sz="4" w:space="0"/>
              <w:right w:val="single" w:color="auto" w:sz="4" w:space="0"/>
            </w:tcBorders>
            <w:vAlign w:val="center"/>
          </w:tcPr>
          <w:p w14:paraId="02509BA0">
            <w:pPr>
              <w:rPr>
                <w:rFonts w:hint="eastAsia" w:asciiTheme="minorEastAsia" w:hAnsiTheme="minorEastAsia" w:eastAsiaTheme="minorEastAsia" w:cstheme="minorEastAsia"/>
                <w:color w:val="auto"/>
                <w:sz w:val="21"/>
                <w:szCs w:val="21"/>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67E18F20">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B级：一对</w:t>
            </w:r>
            <w:r>
              <w:rPr>
                <w:rFonts w:hint="eastAsia" w:asciiTheme="minorEastAsia" w:hAnsiTheme="minorEastAsia" w:eastAsiaTheme="minorEastAsia" w:cstheme="minorEastAsia"/>
                <w:color w:val="auto"/>
                <w:sz w:val="21"/>
                <w:szCs w:val="21"/>
                <w:highlight w:val="none"/>
                <w:lang w:val="en-US" w:eastAsia="zh-CN"/>
              </w:rPr>
              <w:t>四：</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9</w:t>
            </w:r>
            <w:r>
              <w:rPr>
                <w:rFonts w:hint="eastAsia" w:asciiTheme="minorEastAsia" w:hAnsiTheme="minorEastAsia" w:eastAsiaTheme="minorEastAsia" w:cstheme="minorEastAsia"/>
                <w:color w:val="auto"/>
                <w:sz w:val="21"/>
                <w:szCs w:val="21"/>
                <w:highlight w:val="none"/>
                <w:u w:val="single"/>
              </w:rPr>
              <w:t xml:space="preserve">0 </w:t>
            </w:r>
            <w:r>
              <w:rPr>
                <w:rFonts w:hint="eastAsia" w:asciiTheme="minorEastAsia" w:hAnsiTheme="minorEastAsia" w:eastAsiaTheme="minorEastAsia" w:cstheme="minorEastAsia"/>
                <w:color w:val="auto"/>
                <w:sz w:val="21"/>
                <w:szCs w:val="21"/>
                <w:highlight w:val="none"/>
              </w:rPr>
              <w:t>元/人/天</w:t>
            </w:r>
          </w:p>
        </w:tc>
        <w:tc>
          <w:tcPr>
            <w:tcW w:w="986" w:type="dxa"/>
            <w:tcBorders>
              <w:left w:val="single" w:color="auto" w:sz="4" w:space="0"/>
              <w:right w:val="single" w:color="auto" w:sz="4" w:space="0"/>
            </w:tcBorders>
            <w:vAlign w:val="center"/>
          </w:tcPr>
          <w:p w14:paraId="2CDAA663">
            <w:pPr>
              <w:rPr>
                <w:rFonts w:hint="eastAsia" w:asciiTheme="minorEastAsia" w:hAnsiTheme="minorEastAsia" w:eastAsiaTheme="minorEastAsia" w:cstheme="minorEastAsia"/>
                <w:color w:val="auto"/>
                <w:sz w:val="21"/>
                <w:szCs w:val="21"/>
                <w:highlight w:val="none"/>
              </w:rPr>
            </w:pPr>
          </w:p>
        </w:tc>
        <w:tc>
          <w:tcPr>
            <w:tcW w:w="4857" w:type="dxa"/>
            <w:vMerge w:val="continue"/>
            <w:tcBorders>
              <w:left w:val="single" w:color="auto" w:sz="4" w:space="0"/>
              <w:right w:val="single" w:color="auto" w:sz="4" w:space="0"/>
            </w:tcBorders>
            <w:vAlign w:val="center"/>
          </w:tcPr>
          <w:p w14:paraId="62EE2E99">
            <w:pPr>
              <w:rPr>
                <w:rFonts w:hint="eastAsia" w:asciiTheme="minorEastAsia" w:hAnsiTheme="minorEastAsia" w:eastAsiaTheme="minorEastAsia" w:cstheme="minorEastAsia"/>
                <w:color w:val="auto"/>
                <w:sz w:val="21"/>
                <w:szCs w:val="21"/>
                <w:highlight w:val="none"/>
              </w:rPr>
            </w:pPr>
          </w:p>
        </w:tc>
      </w:tr>
      <w:tr w14:paraId="0FF0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665" w:type="dxa"/>
            <w:vMerge w:val="continue"/>
            <w:tcBorders>
              <w:left w:val="single" w:color="auto" w:sz="4" w:space="0"/>
              <w:right w:val="single" w:color="auto" w:sz="4" w:space="0"/>
            </w:tcBorders>
            <w:vAlign w:val="center"/>
          </w:tcPr>
          <w:p w14:paraId="221A448E">
            <w:pPr>
              <w:jc w:val="center"/>
              <w:rPr>
                <w:rFonts w:hint="eastAsia" w:asciiTheme="minorEastAsia" w:hAnsiTheme="minorEastAsia" w:eastAsiaTheme="minorEastAsia" w:cstheme="minorEastAsia"/>
                <w:color w:val="auto"/>
                <w:sz w:val="21"/>
                <w:szCs w:val="21"/>
                <w:highlight w:val="none"/>
              </w:rPr>
            </w:pPr>
          </w:p>
        </w:tc>
        <w:tc>
          <w:tcPr>
            <w:tcW w:w="1061" w:type="dxa"/>
            <w:vMerge w:val="continue"/>
            <w:tcBorders>
              <w:left w:val="single" w:color="auto" w:sz="4" w:space="0"/>
              <w:right w:val="single" w:color="auto" w:sz="4" w:space="0"/>
            </w:tcBorders>
            <w:vAlign w:val="center"/>
          </w:tcPr>
          <w:p w14:paraId="7B2C9CE0">
            <w:pPr>
              <w:rPr>
                <w:rFonts w:hint="eastAsia" w:asciiTheme="minorEastAsia" w:hAnsiTheme="minorEastAsia" w:eastAsiaTheme="minorEastAsia" w:cstheme="minorEastAsia"/>
                <w:color w:val="auto"/>
                <w:sz w:val="21"/>
                <w:szCs w:val="21"/>
                <w:highlight w:val="none"/>
              </w:rPr>
            </w:pPr>
          </w:p>
        </w:tc>
        <w:tc>
          <w:tcPr>
            <w:tcW w:w="1478" w:type="dxa"/>
            <w:vMerge w:val="continue"/>
            <w:tcBorders>
              <w:left w:val="single" w:color="auto" w:sz="4" w:space="0"/>
              <w:right w:val="single" w:color="auto" w:sz="4" w:space="0"/>
            </w:tcBorders>
            <w:vAlign w:val="center"/>
          </w:tcPr>
          <w:p w14:paraId="132E25EC">
            <w:pPr>
              <w:rPr>
                <w:rFonts w:hint="eastAsia" w:asciiTheme="minorEastAsia" w:hAnsiTheme="minorEastAsia" w:eastAsiaTheme="minorEastAsia" w:cstheme="minorEastAsia"/>
                <w:color w:val="auto"/>
                <w:sz w:val="21"/>
                <w:szCs w:val="21"/>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46518E3B">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C级：一对</w:t>
            </w:r>
            <w:r>
              <w:rPr>
                <w:rFonts w:hint="eastAsia" w:asciiTheme="minorEastAsia" w:hAnsiTheme="minorEastAsia" w:eastAsiaTheme="minorEastAsia" w:cstheme="minorEastAsia"/>
                <w:color w:val="auto"/>
                <w:sz w:val="21"/>
                <w:szCs w:val="21"/>
                <w:highlight w:val="none"/>
                <w:lang w:val="en-US" w:eastAsia="zh-CN"/>
              </w:rPr>
              <w:t>三：</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100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元/人/天</w:t>
            </w:r>
          </w:p>
        </w:tc>
        <w:tc>
          <w:tcPr>
            <w:tcW w:w="986" w:type="dxa"/>
            <w:tcBorders>
              <w:left w:val="single" w:color="auto" w:sz="4" w:space="0"/>
              <w:right w:val="single" w:color="auto" w:sz="4" w:space="0"/>
            </w:tcBorders>
            <w:vAlign w:val="center"/>
          </w:tcPr>
          <w:p w14:paraId="4E74C66B">
            <w:pPr>
              <w:rPr>
                <w:rFonts w:hint="eastAsia" w:asciiTheme="minorEastAsia" w:hAnsiTheme="minorEastAsia" w:eastAsiaTheme="minorEastAsia" w:cstheme="minorEastAsia"/>
                <w:color w:val="auto"/>
                <w:sz w:val="21"/>
                <w:szCs w:val="21"/>
                <w:highlight w:val="none"/>
              </w:rPr>
            </w:pPr>
          </w:p>
        </w:tc>
        <w:tc>
          <w:tcPr>
            <w:tcW w:w="4857" w:type="dxa"/>
            <w:vMerge w:val="continue"/>
            <w:tcBorders>
              <w:left w:val="single" w:color="auto" w:sz="4" w:space="0"/>
              <w:right w:val="single" w:color="auto" w:sz="4" w:space="0"/>
            </w:tcBorders>
            <w:vAlign w:val="center"/>
          </w:tcPr>
          <w:p w14:paraId="4A793458">
            <w:pPr>
              <w:rPr>
                <w:rFonts w:hint="eastAsia" w:asciiTheme="minorEastAsia" w:hAnsiTheme="minorEastAsia" w:eastAsiaTheme="minorEastAsia" w:cstheme="minorEastAsia"/>
                <w:color w:val="auto"/>
                <w:sz w:val="21"/>
                <w:szCs w:val="21"/>
                <w:highlight w:val="none"/>
              </w:rPr>
            </w:pPr>
          </w:p>
        </w:tc>
      </w:tr>
      <w:tr w14:paraId="6FC76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665" w:type="dxa"/>
            <w:vMerge w:val="continue"/>
            <w:tcBorders>
              <w:left w:val="single" w:color="auto" w:sz="4" w:space="0"/>
              <w:bottom w:val="single" w:color="auto" w:sz="4" w:space="0"/>
              <w:right w:val="single" w:color="auto" w:sz="4" w:space="0"/>
            </w:tcBorders>
            <w:vAlign w:val="center"/>
          </w:tcPr>
          <w:p w14:paraId="79719AD2">
            <w:pPr>
              <w:jc w:val="center"/>
              <w:rPr>
                <w:rFonts w:hint="eastAsia" w:asciiTheme="minorEastAsia" w:hAnsiTheme="minorEastAsia" w:eastAsiaTheme="minorEastAsia" w:cstheme="minorEastAsia"/>
                <w:color w:val="auto"/>
                <w:sz w:val="21"/>
                <w:szCs w:val="21"/>
                <w:highlight w:val="none"/>
              </w:rPr>
            </w:pPr>
          </w:p>
        </w:tc>
        <w:tc>
          <w:tcPr>
            <w:tcW w:w="1061" w:type="dxa"/>
            <w:vMerge w:val="continue"/>
            <w:tcBorders>
              <w:left w:val="single" w:color="auto" w:sz="4" w:space="0"/>
              <w:bottom w:val="single" w:color="auto" w:sz="4" w:space="0"/>
              <w:right w:val="single" w:color="auto" w:sz="4" w:space="0"/>
            </w:tcBorders>
            <w:vAlign w:val="center"/>
          </w:tcPr>
          <w:p w14:paraId="6D4C27A0">
            <w:pPr>
              <w:rPr>
                <w:rFonts w:hint="eastAsia" w:asciiTheme="minorEastAsia" w:hAnsiTheme="minorEastAsia" w:eastAsiaTheme="minorEastAsia" w:cstheme="minorEastAsia"/>
                <w:color w:val="auto"/>
                <w:sz w:val="21"/>
                <w:szCs w:val="21"/>
                <w:highlight w:val="none"/>
              </w:rPr>
            </w:pPr>
          </w:p>
        </w:tc>
        <w:tc>
          <w:tcPr>
            <w:tcW w:w="1478" w:type="dxa"/>
            <w:vMerge w:val="continue"/>
            <w:tcBorders>
              <w:left w:val="single" w:color="auto" w:sz="4" w:space="0"/>
              <w:bottom w:val="single" w:color="auto" w:sz="4" w:space="0"/>
              <w:right w:val="single" w:color="auto" w:sz="4" w:space="0"/>
            </w:tcBorders>
            <w:vAlign w:val="center"/>
          </w:tcPr>
          <w:p w14:paraId="5DCC67E8">
            <w:pPr>
              <w:rPr>
                <w:rFonts w:hint="eastAsia" w:asciiTheme="minorEastAsia" w:hAnsiTheme="minorEastAsia" w:eastAsiaTheme="minorEastAsia" w:cstheme="minorEastAsia"/>
                <w:color w:val="auto"/>
                <w:sz w:val="21"/>
                <w:szCs w:val="21"/>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2140B6E6">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D级：一对</w:t>
            </w:r>
            <w:r>
              <w:rPr>
                <w:rFonts w:hint="eastAsia" w:asciiTheme="minorEastAsia" w:hAnsiTheme="minorEastAsia" w:eastAsiaTheme="minorEastAsia" w:cstheme="minorEastAsia"/>
                <w:color w:val="auto"/>
                <w:sz w:val="21"/>
                <w:szCs w:val="21"/>
                <w:highlight w:val="none"/>
                <w:lang w:val="en-US" w:eastAsia="zh-CN"/>
              </w:rPr>
              <w:t>二：</w:t>
            </w:r>
            <w:r>
              <w:rPr>
                <w:rFonts w:hint="eastAsia" w:asciiTheme="minorEastAsia" w:hAnsiTheme="minorEastAsia" w:eastAsiaTheme="minorEastAsia" w:cstheme="minorEastAsia"/>
                <w:color w:val="auto"/>
                <w:sz w:val="21"/>
                <w:szCs w:val="21"/>
                <w:highlight w:val="none"/>
                <w:u w:val="single"/>
              </w:rPr>
              <w:t xml:space="preserve"> 1</w:t>
            </w:r>
            <w:r>
              <w:rPr>
                <w:rFonts w:hint="eastAsia" w:asciiTheme="minorEastAsia" w:hAnsiTheme="minorEastAsia" w:eastAsiaTheme="minorEastAsia" w:cstheme="minorEastAsia"/>
                <w:color w:val="auto"/>
                <w:sz w:val="21"/>
                <w:szCs w:val="21"/>
                <w:highlight w:val="none"/>
                <w:u w:val="single"/>
                <w:lang w:val="en-US" w:eastAsia="zh-CN"/>
              </w:rPr>
              <w:t>40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元/人/天</w:t>
            </w:r>
          </w:p>
        </w:tc>
        <w:tc>
          <w:tcPr>
            <w:tcW w:w="986" w:type="dxa"/>
            <w:tcBorders>
              <w:left w:val="single" w:color="auto" w:sz="4" w:space="0"/>
              <w:bottom w:val="single" w:color="auto" w:sz="4" w:space="0"/>
              <w:right w:val="single" w:color="auto" w:sz="4" w:space="0"/>
            </w:tcBorders>
            <w:vAlign w:val="center"/>
          </w:tcPr>
          <w:p w14:paraId="2ABDCB0F">
            <w:pPr>
              <w:rPr>
                <w:rFonts w:hint="eastAsia" w:asciiTheme="minorEastAsia" w:hAnsiTheme="minorEastAsia" w:eastAsiaTheme="minorEastAsia" w:cstheme="minorEastAsia"/>
                <w:color w:val="auto"/>
                <w:sz w:val="21"/>
                <w:szCs w:val="21"/>
                <w:highlight w:val="none"/>
              </w:rPr>
            </w:pPr>
          </w:p>
        </w:tc>
        <w:tc>
          <w:tcPr>
            <w:tcW w:w="4857" w:type="dxa"/>
            <w:vMerge w:val="continue"/>
            <w:tcBorders>
              <w:left w:val="single" w:color="auto" w:sz="4" w:space="0"/>
              <w:bottom w:val="single" w:color="auto" w:sz="4" w:space="0"/>
              <w:right w:val="single" w:color="auto" w:sz="4" w:space="0"/>
            </w:tcBorders>
            <w:vAlign w:val="center"/>
          </w:tcPr>
          <w:p w14:paraId="4D46E690">
            <w:pPr>
              <w:rPr>
                <w:rFonts w:hint="eastAsia" w:asciiTheme="minorEastAsia" w:hAnsiTheme="minorEastAsia" w:eastAsiaTheme="minorEastAsia" w:cstheme="minorEastAsia"/>
                <w:color w:val="auto"/>
                <w:sz w:val="21"/>
                <w:szCs w:val="21"/>
                <w:highlight w:val="none"/>
              </w:rPr>
            </w:pPr>
          </w:p>
        </w:tc>
      </w:tr>
      <w:tr w14:paraId="4EDE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665" w:type="dxa"/>
            <w:vMerge w:val="restart"/>
            <w:tcBorders>
              <w:top w:val="single" w:color="auto" w:sz="4" w:space="0"/>
              <w:left w:val="single" w:color="auto" w:sz="4" w:space="0"/>
              <w:right w:val="single" w:color="auto" w:sz="4" w:space="0"/>
            </w:tcBorders>
            <w:vAlign w:val="center"/>
          </w:tcPr>
          <w:p w14:paraId="7B2CC0CF">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1061" w:type="dxa"/>
            <w:vMerge w:val="restart"/>
            <w:tcBorders>
              <w:top w:val="single" w:color="auto" w:sz="4" w:space="0"/>
              <w:left w:val="single" w:color="auto" w:sz="4" w:space="0"/>
              <w:right w:val="single" w:color="auto" w:sz="4" w:space="0"/>
            </w:tcBorders>
            <w:vAlign w:val="center"/>
          </w:tcPr>
          <w:p w14:paraId="33FF5133">
            <w:pPr>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color w:val="auto"/>
                <w:sz w:val="21"/>
                <w:szCs w:val="21"/>
                <w:highlight w:val="none"/>
              </w:rPr>
              <w:t>专人</w:t>
            </w:r>
            <w:r>
              <w:rPr>
                <w:rFonts w:hint="eastAsia" w:asciiTheme="minorEastAsia" w:hAnsiTheme="minorEastAsia" w:eastAsiaTheme="minorEastAsia" w:cstheme="minorEastAsia"/>
                <w:color w:val="auto"/>
                <w:sz w:val="21"/>
                <w:szCs w:val="21"/>
                <w:highlight w:val="none"/>
                <w:lang w:eastAsia="zh-Hans"/>
              </w:rPr>
              <w:t>生活照护</w:t>
            </w:r>
          </w:p>
        </w:tc>
        <w:tc>
          <w:tcPr>
            <w:tcW w:w="1478" w:type="dxa"/>
            <w:vMerge w:val="restart"/>
            <w:tcBorders>
              <w:top w:val="single" w:color="auto" w:sz="4" w:space="0"/>
              <w:left w:val="single" w:color="auto" w:sz="4" w:space="0"/>
              <w:right w:val="single" w:color="auto" w:sz="4" w:space="0"/>
            </w:tcBorders>
            <w:vAlign w:val="center"/>
          </w:tcPr>
          <w:p w14:paraId="06911921">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适用于病情危重，生活不能自理的患者或有特殊照护需求者</w:t>
            </w:r>
            <w:r>
              <w:rPr>
                <w:rFonts w:hint="eastAsia" w:asciiTheme="minorEastAsia" w:hAnsiTheme="minorEastAsia" w:eastAsiaTheme="minorEastAsia" w:cstheme="minorEastAsia"/>
                <w:bCs/>
                <w:color w:val="auto"/>
                <w:sz w:val="21"/>
                <w:szCs w:val="21"/>
                <w:highlight w:val="none"/>
              </w:rPr>
              <w:t>。一名医疗护理员一次仅服务一位患者。</w:t>
            </w:r>
          </w:p>
        </w:tc>
        <w:tc>
          <w:tcPr>
            <w:tcW w:w="1275" w:type="dxa"/>
            <w:tcBorders>
              <w:top w:val="single" w:color="auto" w:sz="4" w:space="0"/>
              <w:left w:val="single" w:color="auto" w:sz="4" w:space="0"/>
              <w:bottom w:val="single" w:color="auto" w:sz="4" w:space="0"/>
              <w:right w:val="single" w:color="auto" w:sz="4" w:space="0"/>
            </w:tcBorders>
            <w:vAlign w:val="center"/>
          </w:tcPr>
          <w:p w14:paraId="27EEA55B">
            <w:pPr>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A级：</w:t>
            </w:r>
          </w:p>
          <w:p w14:paraId="2F24050E">
            <w:pPr>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21</w:t>
            </w:r>
            <w:r>
              <w:rPr>
                <w:rFonts w:hint="eastAsia" w:asciiTheme="minorEastAsia" w:hAnsiTheme="minorEastAsia" w:eastAsiaTheme="minorEastAsia" w:cstheme="minorEastAsia"/>
                <w:color w:val="auto"/>
                <w:sz w:val="21"/>
                <w:szCs w:val="21"/>
                <w:highlight w:val="none"/>
                <w:u w:val="single"/>
              </w:rPr>
              <w:t xml:space="preserve">0 </w:t>
            </w:r>
            <w:r>
              <w:rPr>
                <w:rFonts w:hint="eastAsia" w:asciiTheme="minorEastAsia" w:hAnsiTheme="minorEastAsia" w:eastAsiaTheme="minorEastAsia" w:cstheme="minorEastAsia"/>
                <w:color w:val="auto"/>
                <w:sz w:val="21"/>
                <w:szCs w:val="21"/>
                <w:highlight w:val="none"/>
              </w:rPr>
              <w:t>元/人/天</w:t>
            </w:r>
          </w:p>
          <w:p w14:paraId="51E7E42F">
            <w:pPr>
              <w:jc w:val="center"/>
              <w:rPr>
                <w:rFonts w:hint="eastAsia" w:asciiTheme="minorEastAsia" w:hAnsiTheme="minorEastAsia" w:eastAsiaTheme="minorEastAsia" w:cstheme="minorEastAsia"/>
                <w:color w:val="auto"/>
                <w:sz w:val="21"/>
                <w:szCs w:val="21"/>
                <w:highlight w:val="none"/>
              </w:rPr>
            </w:pPr>
          </w:p>
        </w:tc>
        <w:tc>
          <w:tcPr>
            <w:tcW w:w="986" w:type="dxa"/>
            <w:tcBorders>
              <w:top w:val="single" w:color="auto" w:sz="4" w:space="0"/>
              <w:left w:val="single" w:color="auto" w:sz="4" w:space="0"/>
              <w:bottom w:val="single" w:color="auto" w:sz="4" w:space="0"/>
              <w:right w:val="single" w:color="auto" w:sz="4" w:space="0"/>
            </w:tcBorders>
            <w:vAlign w:val="center"/>
          </w:tcPr>
          <w:p w14:paraId="21B3AB1F">
            <w:pPr>
              <w:widowControl/>
              <w:rPr>
                <w:rFonts w:hint="eastAsia" w:asciiTheme="minorEastAsia" w:hAnsiTheme="minorEastAsia" w:eastAsiaTheme="minorEastAsia" w:cstheme="minorEastAsia"/>
                <w:color w:val="auto"/>
                <w:sz w:val="21"/>
                <w:szCs w:val="21"/>
                <w:highlight w:val="none"/>
                <w:lang w:val="en-US" w:eastAsia="zh-CN"/>
              </w:rPr>
            </w:pPr>
          </w:p>
        </w:tc>
        <w:tc>
          <w:tcPr>
            <w:tcW w:w="4857" w:type="dxa"/>
            <w:vMerge w:val="restart"/>
            <w:tcBorders>
              <w:top w:val="single" w:color="auto" w:sz="4" w:space="0"/>
              <w:left w:val="single" w:color="auto" w:sz="4" w:space="0"/>
              <w:right w:val="single" w:color="auto" w:sz="4" w:space="0"/>
            </w:tcBorders>
            <w:vAlign w:val="center"/>
          </w:tcPr>
          <w:p w14:paraId="1EEAE1A1">
            <w:pPr>
              <w:widowControl/>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1.在一级生活照护的基础上，提供与患者自理能力不足的照护需求相对应的</w:t>
            </w:r>
            <w:r>
              <w:rPr>
                <w:rFonts w:hint="eastAsia" w:asciiTheme="minorEastAsia" w:hAnsiTheme="minorEastAsia" w:eastAsiaTheme="minorEastAsia" w:cstheme="minorEastAsia"/>
                <w:color w:val="auto"/>
                <w:sz w:val="21"/>
                <w:szCs w:val="21"/>
                <w:highlight w:val="none"/>
                <w:lang w:val="en-US" w:eastAsia="zh-CN"/>
              </w:rPr>
              <w:t>辅助护理</w:t>
            </w:r>
            <w:r>
              <w:rPr>
                <w:rFonts w:hint="eastAsia" w:asciiTheme="minorEastAsia" w:hAnsiTheme="minorEastAsia" w:eastAsiaTheme="minorEastAsia" w:cstheme="minorEastAsia"/>
                <w:color w:val="auto"/>
                <w:sz w:val="21"/>
                <w:szCs w:val="21"/>
                <w:highlight w:val="none"/>
              </w:rPr>
              <w:t>服务内容，所有照护行为均需在医务人员指导下或经医务人员同意后进行。</w:t>
            </w:r>
          </w:p>
          <w:p w14:paraId="40EAA4A4">
            <w:pPr>
              <w:widowControl/>
              <w:rPr>
                <w:rFonts w:hint="eastAsia" w:asciiTheme="minorEastAsia" w:hAnsiTheme="minorEastAsia" w:eastAsiaTheme="minorEastAsia" w:cstheme="minorEastAsia"/>
                <w:color w:val="auto"/>
                <w:sz w:val="21"/>
                <w:szCs w:val="21"/>
                <w:highlight w:val="none"/>
                <w:lang w:val="en-US" w:eastAsia="en-US"/>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val="en-US" w:eastAsia="en-US"/>
              </w:rPr>
              <w:t>按时按需喂水、喂食，需要时协助评估进食、进水量，并做好记录。</w:t>
            </w:r>
          </w:p>
          <w:p w14:paraId="60CE0B24">
            <w:pPr>
              <w:widowControl/>
              <w:rPr>
                <w:rFonts w:hint="eastAsia" w:asciiTheme="minorEastAsia" w:hAnsiTheme="minorEastAsia" w:eastAsiaTheme="minorEastAsia" w:cstheme="minorEastAsia"/>
                <w:color w:val="auto"/>
                <w:sz w:val="21"/>
                <w:szCs w:val="21"/>
                <w:highlight w:val="none"/>
                <w:lang w:val="en-US" w:eastAsia="en-US"/>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lang w:val="en-US" w:eastAsia="en-US"/>
              </w:rPr>
              <w:t>协助患者洗澡、定时叩背、翻身、有效咳嗽。</w:t>
            </w:r>
          </w:p>
          <w:p w14:paraId="3FE19EE6">
            <w:pPr>
              <w:widowControl/>
              <w:rPr>
                <w:rFonts w:hint="eastAsia" w:asciiTheme="minorEastAsia" w:hAnsiTheme="minorEastAsia" w:eastAsiaTheme="minorEastAsia" w:cstheme="minorEastAsia"/>
                <w:color w:val="auto"/>
                <w:sz w:val="21"/>
                <w:szCs w:val="21"/>
                <w:highlight w:val="none"/>
                <w:lang w:val="en-US" w:eastAsia="en-US"/>
              </w:rPr>
            </w:pP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lang w:val="en-US" w:eastAsia="en-US"/>
              </w:rPr>
              <w:t>协助保持肢体功能位、变换体位、肢体按摩。</w:t>
            </w:r>
          </w:p>
          <w:p w14:paraId="6368CE70">
            <w:pPr>
              <w:widowControl/>
              <w:rPr>
                <w:rFonts w:hint="eastAsia" w:asciiTheme="minorEastAsia" w:hAnsiTheme="minorEastAsia" w:eastAsiaTheme="minorEastAsia" w:cstheme="minorEastAsia"/>
                <w:color w:val="auto"/>
                <w:sz w:val="21"/>
                <w:szCs w:val="21"/>
                <w:highlight w:val="none"/>
                <w:lang w:val="en-US" w:eastAsia="en-US"/>
              </w:rPr>
            </w:pP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lang w:val="en-US" w:eastAsia="en-US"/>
              </w:rPr>
              <w:t>协助留取标本、做好诊疗前相关准备。</w:t>
            </w:r>
          </w:p>
          <w:p w14:paraId="638EB30C">
            <w:pPr>
              <w:widowControl/>
              <w:rPr>
                <w:rFonts w:hint="eastAsia" w:asciiTheme="minorEastAsia" w:hAnsiTheme="minorEastAsia" w:eastAsiaTheme="minorEastAsia" w:cstheme="minorEastAsia"/>
                <w:color w:val="auto"/>
                <w:sz w:val="21"/>
                <w:szCs w:val="21"/>
                <w:highlight w:val="none"/>
                <w:lang w:val="en-US" w:eastAsia="en-US"/>
              </w:rPr>
            </w:pPr>
            <w:r>
              <w:rPr>
                <w:rFonts w:hint="eastAsia" w:asciiTheme="minorEastAsia" w:hAnsiTheme="minorEastAsia" w:eastAsia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lang w:val="en-US" w:eastAsia="en-US"/>
              </w:rPr>
              <w:t>更换尿垫、纸尿裤，会阴清洁。</w:t>
            </w:r>
          </w:p>
          <w:p w14:paraId="57166A06">
            <w:pPr>
              <w:widowControl/>
              <w:rPr>
                <w:rFonts w:hint="eastAsia" w:asciiTheme="minorEastAsia" w:hAnsiTheme="minorEastAsia" w:eastAsiaTheme="minorEastAsia" w:cstheme="minorEastAsia"/>
                <w:color w:val="auto"/>
                <w:sz w:val="21"/>
                <w:szCs w:val="21"/>
                <w:highlight w:val="none"/>
                <w:lang w:val="en-US" w:eastAsia="en-US"/>
              </w:rPr>
            </w:pPr>
            <w:r>
              <w:rPr>
                <w:rFonts w:hint="eastAsia" w:asciiTheme="minorEastAsia" w:hAnsiTheme="minorEastAsia" w:eastAsiaTheme="minorEastAsia" w:cstheme="minorEastAsia"/>
                <w:color w:val="auto"/>
                <w:sz w:val="21"/>
                <w:szCs w:val="21"/>
                <w:highlight w:val="none"/>
                <w:lang w:val="en-US" w:eastAsia="zh-CN"/>
              </w:rPr>
              <w:t>7.</w:t>
            </w:r>
            <w:r>
              <w:rPr>
                <w:rFonts w:hint="eastAsia" w:asciiTheme="minorEastAsia" w:hAnsiTheme="minorEastAsia" w:eastAsiaTheme="minorEastAsia" w:cstheme="minorEastAsia"/>
                <w:color w:val="auto"/>
                <w:sz w:val="21"/>
                <w:szCs w:val="21"/>
                <w:highlight w:val="none"/>
                <w:lang w:val="en-US" w:eastAsia="en-US"/>
              </w:rPr>
              <w:t>协助服药，并观察用药反应。</w:t>
            </w:r>
          </w:p>
          <w:p w14:paraId="48C99082">
            <w:pPr>
              <w:widowControl/>
              <w:rPr>
                <w:rFonts w:hint="eastAsia" w:asciiTheme="minorEastAsia" w:hAnsiTheme="minorEastAsia" w:eastAsiaTheme="minorEastAsia" w:cstheme="minorEastAsia"/>
                <w:color w:val="auto"/>
                <w:sz w:val="21"/>
                <w:szCs w:val="21"/>
                <w:highlight w:val="none"/>
                <w:lang w:val="en-US" w:eastAsia="en-US"/>
              </w:rPr>
            </w:pPr>
            <w:r>
              <w:rPr>
                <w:rFonts w:hint="eastAsia" w:asciiTheme="minorEastAsia" w:hAnsiTheme="minorEastAsia" w:eastAsia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lang w:val="en-US" w:eastAsia="en-US"/>
              </w:rPr>
              <w:t>观察患者身体状况，发现异常及时报告医务人。</w:t>
            </w:r>
          </w:p>
          <w:p w14:paraId="0F13A37E">
            <w:pPr>
              <w:widowControl/>
              <w:rPr>
                <w:rFonts w:hint="eastAsia" w:asciiTheme="minorEastAsia" w:hAnsiTheme="minorEastAsia" w:eastAsiaTheme="minorEastAsia" w:cstheme="minorEastAsia"/>
                <w:color w:val="auto"/>
                <w:sz w:val="21"/>
                <w:szCs w:val="21"/>
                <w:highlight w:val="none"/>
                <w:lang w:val="en-US" w:eastAsia="en-US"/>
              </w:rPr>
            </w:pPr>
            <w:r>
              <w:rPr>
                <w:rFonts w:hint="eastAsia" w:asciiTheme="minorEastAsia" w:hAnsiTheme="minorEastAsia" w:eastAsiaTheme="minorEastAsia" w:cstheme="minorEastAsia"/>
                <w:color w:val="auto"/>
                <w:sz w:val="21"/>
                <w:szCs w:val="21"/>
                <w:highlight w:val="none"/>
                <w:lang w:val="en-US" w:eastAsia="zh-CN"/>
              </w:rPr>
              <w:t>9.</w:t>
            </w:r>
            <w:r>
              <w:rPr>
                <w:rFonts w:hint="eastAsia" w:asciiTheme="minorEastAsia" w:hAnsiTheme="minorEastAsia" w:eastAsiaTheme="minorEastAsia" w:cstheme="minorEastAsia"/>
                <w:color w:val="auto"/>
                <w:sz w:val="21"/>
                <w:szCs w:val="21"/>
                <w:highlight w:val="none"/>
                <w:lang w:val="en-US" w:eastAsia="en-US"/>
              </w:rPr>
              <w:t>协助患者进行康复功能锻炼。</w:t>
            </w:r>
          </w:p>
          <w:p w14:paraId="48BF7A86">
            <w:pPr>
              <w:widowControl/>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10</w:t>
            </w:r>
            <w:r>
              <w:rPr>
                <w:rFonts w:hint="eastAsia" w:asciiTheme="minorEastAsia" w:hAnsiTheme="minorEastAsia" w:eastAsiaTheme="minorEastAsia" w:cstheme="minorEastAsia"/>
                <w:color w:val="auto"/>
                <w:sz w:val="21"/>
                <w:szCs w:val="21"/>
                <w:highlight w:val="none"/>
              </w:rPr>
              <w:t>.陪伴患者，做好患者心理安抚，与患者及其亲属有效沟通与交流。</w:t>
            </w:r>
          </w:p>
        </w:tc>
      </w:tr>
      <w:tr w14:paraId="40F0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665" w:type="dxa"/>
            <w:vMerge w:val="continue"/>
            <w:tcBorders>
              <w:left w:val="single" w:color="auto" w:sz="4" w:space="0"/>
              <w:bottom w:val="single" w:color="auto" w:sz="4" w:space="0"/>
              <w:right w:val="single" w:color="auto" w:sz="4" w:space="0"/>
            </w:tcBorders>
            <w:vAlign w:val="center"/>
          </w:tcPr>
          <w:p w14:paraId="1705DCC2">
            <w:pPr>
              <w:jc w:val="center"/>
              <w:rPr>
                <w:rFonts w:hint="eastAsia" w:asciiTheme="minorEastAsia" w:hAnsiTheme="minorEastAsia" w:eastAsiaTheme="minorEastAsia" w:cstheme="minorEastAsia"/>
                <w:color w:val="auto"/>
                <w:sz w:val="21"/>
                <w:szCs w:val="21"/>
                <w:highlight w:val="none"/>
              </w:rPr>
            </w:pPr>
          </w:p>
        </w:tc>
        <w:tc>
          <w:tcPr>
            <w:tcW w:w="1061" w:type="dxa"/>
            <w:vMerge w:val="continue"/>
            <w:tcBorders>
              <w:left w:val="single" w:color="auto" w:sz="4" w:space="0"/>
              <w:bottom w:val="single" w:color="auto" w:sz="4" w:space="0"/>
              <w:right w:val="single" w:color="auto" w:sz="4" w:space="0"/>
            </w:tcBorders>
            <w:vAlign w:val="center"/>
          </w:tcPr>
          <w:p w14:paraId="3F89A4C9">
            <w:pPr>
              <w:jc w:val="center"/>
              <w:rPr>
                <w:rFonts w:hint="eastAsia" w:asciiTheme="minorEastAsia" w:hAnsiTheme="minorEastAsia" w:eastAsiaTheme="minorEastAsia" w:cstheme="minorEastAsia"/>
                <w:bCs/>
                <w:color w:val="auto"/>
                <w:sz w:val="21"/>
                <w:szCs w:val="21"/>
                <w:highlight w:val="none"/>
              </w:rPr>
            </w:pPr>
          </w:p>
        </w:tc>
        <w:tc>
          <w:tcPr>
            <w:tcW w:w="1478" w:type="dxa"/>
            <w:vMerge w:val="continue"/>
            <w:tcBorders>
              <w:left w:val="single" w:color="auto" w:sz="4" w:space="0"/>
              <w:bottom w:val="single" w:color="auto" w:sz="4" w:space="0"/>
              <w:right w:val="single" w:color="auto" w:sz="4" w:space="0"/>
            </w:tcBorders>
            <w:vAlign w:val="center"/>
          </w:tcPr>
          <w:p w14:paraId="775CE3F9">
            <w:pPr>
              <w:rPr>
                <w:rFonts w:hint="eastAsia" w:asciiTheme="minorEastAsia" w:hAnsiTheme="minorEastAsia" w:eastAsiaTheme="minorEastAsia" w:cstheme="minorEastAsia"/>
                <w:color w:val="auto"/>
                <w:sz w:val="21"/>
                <w:szCs w:val="21"/>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3A1E90F7">
            <w:pPr>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B级：</w:t>
            </w:r>
            <w:r>
              <w:rPr>
                <w:rFonts w:hint="eastAsia" w:asciiTheme="minorEastAsia" w:hAnsiTheme="minorEastAsia" w:eastAsiaTheme="minorEastAsia" w:cstheme="minorEastAsia"/>
                <w:color w:val="auto"/>
                <w:sz w:val="21"/>
                <w:szCs w:val="21"/>
                <w:highlight w:val="none"/>
                <w:lang w:val="en-US" w:eastAsia="zh-CN"/>
              </w:rPr>
              <w:t>重症病人</w:t>
            </w:r>
          </w:p>
          <w:p w14:paraId="39340E2D">
            <w:pPr>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xml:space="preserve"> 2</w:t>
            </w:r>
            <w:r>
              <w:rPr>
                <w:rFonts w:hint="eastAsia" w:asciiTheme="minorEastAsia" w:hAnsiTheme="minorEastAsia" w:eastAsiaTheme="minorEastAsia" w:cstheme="minorEastAsia"/>
                <w:color w:val="auto"/>
                <w:sz w:val="21"/>
                <w:szCs w:val="21"/>
                <w:highlight w:val="none"/>
                <w:u w:val="single"/>
                <w:lang w:val="en-US" w:eastAsia="zh-CN"/>
              </w:rPr>
              <w:t>3</w:t>
            </w:r>
            <w:r>
              <w:rPr>
                <w:rFonts w:hint="eastAsia" w:asciiTheme="minorEastAsia" w:hAnsiTheme="minorEastAsia" w:eastAsiaTheme="minorEastAsia" w:cstheme="minorEastAsia"/>
                <w:color w:val="auto"/>
                <w:sz w:val="21"/>
                <w:szCs w:val="21"/>
                <w:highlight w:val="none"/>
                <w:u w:val="single"/>
              </w:rPr>
              <w:t xml:space="preserve">0 </w:t>
            </w:r>
            <w:r>
              <w:rPr>
                <w:rFonts w:hint="eastAsia" w:asciiTheme="minorEastAsia" w:hAnsiTheme="minorEastAsia" w:eastAsiaTheme="minorEastAsia" w:cstheme="minorEastAsia"/>
                <w:color w:val="auto"/>
                <w:sz w:val="21"/>
                <w:szCs w:val="21"/>
                <w:highlight w:val="none"/>
              </w:rPr>
              <w:t>元/人/天</w:t>
            </w:r>
          </w:p>
        </w:tc>
        <w:tc>
          <w:tcPr>
            <w:tcW w:w="986" w:type="dxa"/>
            <w:tcBorders>
              <w:top w:val="single" w:color="auto" w:sz="4" w:space="0"/>
              <w:left w:val="single" w:color="auto" w:sz="4" w:space="0"/>
              <w:bottom w:val="single" w:color="auto" w:sz="4" w:space="0"/>
              <w:right w:val="single" w:color="auto" w:sz="4" w:space="0"/>
            </w:tcBorders>
            <w:vAlign w:val="center"/>
          </w:tcPr>
          <w:p w14:paraId="38F8D247">
            <w:pPr>
              <w:widowControl/>
              <w:rPr>
                <w:rFonts w:hint="eastAsia" w:asciiTheme="minorEastAsia" w:hAnsiTheme="minorEastAsia" w:eastAsiaTheme="minorEastAsia" w:cstheme="minorEastAsia"/>
                <w:color w:val="auto"/>
                <w:sz w:val="21"/>
                <w:szCs w:val="21"/>
                <w:highlight w:val="none"/>
                <w:lang w:val="en-US" w:eastAsia="zh-CN"/>
              </w:rPr>
            </w:pPr>
          </w:p>
        </w:tc>
        <w:tc>
          <w:tcPr>
            <w:tcW w:w="4857" w:type="dxa"/>
            <w:vMerge w:val="continue"/>
            <w:tcBorders>
              <w:left w:val="single" w:color="auto" w:sz="4" w:space="0"/>
              <w:bottom w:val="single" w:color="auto" w:sz="4" w:space="0"/>
              <w:right w:val="single" w:color="auto" w:sz="4" w:space="0"/>
            </w:tcBorders>
            <w:vAlign w:val="center"/>
          </w:tcPr>
          <w:p w14:paraId="603C4FDF">
            <w:pPr>
              <w:widowControl/>
              <w:rPr>
                <w:rFonts w:hint="eastAsia" w:asciiTheme="minorEastAsia" w:hAnsiTheme="minorEastAsia" w:eastAsiaTheme="minorEastAsia" w:cstheme="minorEastAsia"/>
                <w:color w:val="auto"/>
                <w:sz w:val="21"/>
                <w:szCs w:val="21"/>
                <w:highlight w:val="none"/>
              </w:rPr>
            </w:pPr>
          </w:p>
        </w:tc>
      </w:tr>
      <w:tr w14:paraId="5057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665" w:type="dxa"/>
            <w:tcBorders>
              <w:top w:val="single" w:color="auto" w:sz="4" w:space="0"/>
              <w:left w:val="single" w:color="auto" w:sz="4" w:space="0"/>
              <w:right w:val="single" w:color="auto" w:sz="4" w:space="0"/>
            </w:tcBorders>
            <w:vAlign w:val="center"/>
          </w:tcPr>
          <w:p w14:paraId="3DD60E77">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6</w:t>
            </w:r>
          </w:p>
        </w:tc>
        <w:tc>
          <w:tcPr>
            <w:tcW w:w="2539" w:type="dxa"/>
            <w:gridSpan w:val="2"/>
            <w:tcBorders>
              <w:top w:val="single" w:color="auto" w:sz="4" w:space="0"/>
              <w:left w:val="single" w:color="auto" w:sz="4" w:space="0"/>
              <w:right w:val="single" w:color="auto" w:sz="4" w:space="0"/>
            </w:tcBorders>
            <w:vAlign w:val="center"/>
          </w:tcPr>
          <w:p w14:paraId="7DEDC5A9">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用于开展辅助护理服务的水电、相关医疗设施损耗及辅助护理服务技术指导等必要的支出，按营业总收入_%支付给采购方</w:t>
            </w:r>
          </w:p>
        </w:tc>
        <w:tc>
          <w:tcPr>
            <w:tcW w:w="1275" w:type="dxa"/>
            <w:tcBorders>
              <w:top w:val="single" w:color="auto" w:sz="4" w:space="0"/>
              <w:left w:val="single" w:color="auto" w:sz="4" w:space="0"/>
              <w:bottom w:val="single" w:color="auto" w:sz="4" w:space="0"/>
              <w:right w:val="single" w:color="auto" w:sz="4" w:space="0"/>
            </w:tcBorders>
            <w:vAlign w:val="center"/>
          </w:tcPr>
          <w:p w14:paraId="188B03F9">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12%</w:t>
            </w:r>
          </w:p>
        </w:tc>
        <w:tc>
          <w:tcPr>
            <w:tcW w:w="986" w:type="dxa"/>
            <w:tcBorders>
              <w:top w:val="single" w:color="auto" w:sz="4" w:space="0"/>
              <w:left w:val="single" w:color="auto" w:sz="4" w:space="0"/>
              <w:right w:val="single" w:color="auto" w:sz="4" w:space="0"/>
            </w:tcBorders>
            <w:vAlign w:val="center"/>
          </w:tcPr>
          <w:p w14:paraId="4F36A3AB">
            <w:pPr>
              <w:widowControl/>
              <w:rPr>
                <w:rFonts w:hint="eastAsia" w:asciiTheme="minorEastAsia" w:hAnsiTheme="minorEastAsia" w:eastAsiaTheme="minorEastAsia" w:cstheme="minorEastAsia"/>
                <w:color w:val="auto"/>
                <w:sz w:val="21"/>
                <w:szCs w:val="21"/>
                <w:highlight w:val="none"/>
                <w:lang w:val="en-US" w:eastAsia="zh-CN"/>
              </w:rPr>
            </w:pPr>
          </w:p>
        </w:tc>
        <w:tc>
          <w:tcPr>
            <w:tcW w:w="4857" w:type="dxa"/>
            <w:tcBorders>
              <w:top w:val="single" w:color="auto" w:sz="4" w:space="0"/>
              <w:left w:val="single" w:color="auto" w:sz="4" w:space="0"/>
              <w:right w:val="single" w:color="auto" w:sz="4" w:space="0"/>
            </w:tcBorders>
            <w:vAlign w:val="center"/>
          </w:tcPr>
          <w:p w14:paraId="6C1CC5AA">
            <w:pPr>
              <w:widowControl/>
              <w:rPr>
                <w:rFonts w:hint="eastAsia" w:asciiTheme="minorEastAsia" w:hAnsiTheme="minorEastAsia" w:eastAsiaTheme="minorEastAsia" w:cstheme="minorEastAsia"/>
                <w:color w:val="auto"/>
                <w:sz w:val="21"/>
                <w:szCs w:val="21"/>
                <w:highlight w:val="none"/>
                <w:lang w:val="en-US" w:eastAsia="zh-CN"/>
              </w:rPr>
            </w:pPr>
          </w:p>
        </w:tc>
      </w:tr>
    </w:tbl>
    <w:p w14:paraId="37645B99">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right="0" w:rightChars="0" w:firstLine="420" w:firstLineChars="200"/>
        <w:jc w:val="both"/>
        <w:rPr>
          <w:rFonts w:hint="eastAsia" w:ascii="宋体" w:hAnsi="宋体" w:eastAsia="宋体" w:cs="宋体"/>
          <w:kern w:val="2"/>
          <w:sz w:val="21"/>
          <w:szCs w:val="21"/>
          <w:highlight w:val="none"/>
          <w:lang w:val="en-US" w:eastAsia="zh-CN" w:bidi="ar-SA"/>
        </w:rPr>
      </w:pPr>
      <w:r>
        <w:rPr>
          <w:rFonts w:hint="eastAsia" w:ascii="宋体" w:hAnsi="宋体" w:cs="宋体"/>
          <w:kern w:val="2"/>
          <w:sz w:val="21"/>
          <w:szCs w:val="21"/>
          <w:highlight w:val="none"/>
          <w:lang w:val="en-US" w:eastAsia="zh-CN" w:bidi="ar-SA"/>
        </w:rPr>
        <w:t>2.</w:t>
      </w:r>
      <w:r>
        <w:rPr>
          <w:rFonts w:hint="eastAsia" w:ascii="宋体" w:hAnsi="宋体" w:eastAsia="宋体" w:cs="宋体"/>
          <w:kern w:val="2"/>
          <w:sz w:val="21"/>
          <w:szCs w:val="21"/>
          <w:highlight w:val="none"/>
          <w:lang w:val="en-US" w:eastAsia="zh-CN" w:bidi="ar-SA"/>
        </w:rPr>
        <w:t>履约保证金：中标后向采购人缴纳</w:t>
      </w:r>
      <w:r>
        <w:rPr>
          <w:rFonts w:hint="eastAsia" w:ascii="宋体" w:hAnsi="宋体" w:cs="宋体"/>
          <w:kern w:val="2"/>
          <w:sz w:val="21"/>
          <w:szCs w:val="21"/>
          <w:highlight w:val="none"/>
          <w:lang w:val="en-US" w:eastAsia="zh-CN" w:bidi="ar-SA"/>
        </w:rPr>
        <w:t>人民币1</w:t>
      </w:r>
      <w:r>
        <w:rPr>
          <w:rFonts w:hint="eastAsia" w:ascii="宋体" w:hAnsi="宋体" w:eastAsia="宋体" w:cs="宋体"/>
          <w:kern w:val="2"/>
          <w:sz w:val="21"/>
          <w:szCs w:val="21"/>
          <w:highlight w:val="none"/>
          <w:lang w:val="en-US" w:eastAsia="zh-CN" w:bidi="ar-SA"/>
        </w:rPr>
        <w:t>万元履约保证金，合同结束后经申请原路退回（无息）。</w:t>
      </w:r>
    </w:p>
    <w:p w14:paraId="05B7BD57">
      <w:pPr>
        <w:widowControl w:val="0"/>
        <w:spacing w:line="420" w:lineRule="exact"/>
        <w:ind w:firstLine="420" w:firstLineChars="200"/>
        <w:jc w:val="both"/>
        <w:textAlignment w:val="auto"/>
        <w:rPr>
          <w:rFonts w:hint="eastAsia" w:ascii="宋体" w:hAnsi="宋体" w:cs="宋体"/>
          <w:szCs w:val="21"/>
          <w:lang w:val="en-US" w:eastAsia="zh-CN"/>
        </w:rPr>
      </w:pPr>
      <w:r>
        <w:rPr>
          <w:rFonts w:hint="eastAsia" w:ascii="宋体" w:hAnsi="宋体" w:cs="宋体"/>
          <w:szCs w:val="21"/>
          <w:lang w:val="en-US" w:eastAsia="zh-CN"/>
        </w:rPr>
        <w:t>3.合同期内保持价格不变。</w:t>
      </w:r>
    </w:p>
    <w:p w14:paraId="456A432C">
      <w:pPr>
        <w:widowControl w:val="0"/>
        <w:spacing w:line="420" w:lineRule="exact"/>
        <w:ind w:firstLine="422" w:firstLineChars="200"/>
        <w:jc w:val="both"/>
        <w:textAlignment w:val="auto"/>
        <w:rPr>
          <w:rStyle w:val="36"/>
          <w:rFonts w:hint="eastAsia"/>
          <w:b/>
          <w:sz w:val="21"/>
          <w:szCs w:val="22"/>
          <w:lang w:val="en-US" w:eastAsia="zh-CN"/>
        </w:rPr>
      </w:pPr>
      <w:r>
        <w:rPr>
          <w:rStyle w:val="36"/>
          <w:rFonts w:hint="eastAsia"/>
          <w:b/>
          <w:sz w:val="21"/>
          <w:szCs w:val="22"/>
          <w:lang w:val="en-US" w:eastAsia="zh-CN"/>
        </w:rPr>
        <w:t>六、其他要求</w:t>
      </w:r>
    </w:p>
    <w:p w14:paraId="248C686E">
      <w:pPr>
        <w:widowControl w:val="0"/>
        <w:spacing w:line="420" w:lineRule="exact"/>
        <w:ind w:left="420" w:leftChars="200" w:firstLine="0" w:firstLineChars="0"/>
        <w:jc w:val="both"/>
        <w:textAlignment w:val="auto"/>
        <w:rPr>
          <w:rFonts w:ascii="宋体" w:hAnsi="宋体" w:cs="宋体"/>
          <w:color w:val="000000"/>
          <w:szCs w:val="21"/>
        </w:rPr>
      </w:pPr>
      <w:r>
        <w:rPr>
          <w:rFonts w:hint="eastAsia" w:ascii="宋体" w:hAnsi="宋体" w:cs="宋体"/>
          <w:szCs w:val="21"/>
        </w:rPr>
        <w:t>（</w:t>
      </w:r>
      <w:r>
        <w:rPr>
          <w:rFonts w:hint="eastAsia" w:ascii="宋体" w:hAnsi="宋体" w:cs="宋体"/>
          <w:szCs w:val="21"/>
          <w:lang w:val="en-US" w:eastAsia="zh-CN"/>
        </w:rPr>
        <w:t>一</w:t>
      </w:r>
      <w:r>
        <w:rPr>
          <w:rFonts w:hint="eastAsia" w:ascii="宋体" w:hAnsi="宋体" w:cs="宋体"/>
          <w:szCs w:val="21"/>
        </w:rPr>
        <w:t>）所</w:t>
      </w:r>
      <w:r>
        <w:rPr>
          <w:rFonts w:hint="eastAsia" w:ascii="宋体" w:hAnsi="宋体" w:cs="宋体"/>
          <w:color w:val="000000"/>
          <w:szCs w:val="21"/>
        </w:rPr>
        <w:t>提供的证书必须合法有效；</w:t>
      </w:r>
      <w:r>
        <w:rPr>
          <w:rFonts w:hint="eastAsia" w:ascii="宋体" w:hAnsi="宋体" w:cs="宋体"/>
          <w:color w:val="000000"/>
          <w:szCs w:val="21"/>
        </w:rPr>
        <w:br w:type="textWrapping"/>
      </w:r>
      <w:r>
        <w:rPr>
          <w:rFonts w:hint="eastAsia" w:ascii="宋体" w:hAnsi="宋体" w:cs="宋体"/>
          <w:color w:val="000000"/>
          <w:szCs w:val="21"/>
        </w:rPr>
        <w:t>（</w:t>
      </w:r>
      <w:r>
        <w:rPr>
          <w:rFonts w:hint="eastAsia" w:ascii="宋体" w:hAnsi="宋体" w:cs="宋体"/>
          <w:color w:val="000000"/>
          <w:szCs w:val="21"/>
          <w:lang w:val="en-US" w:eastAsia="zh-CN"/>
        </w:rPr>
        <w:t>二</w:t>
      </w:r>
      <w:r>
        <w:rPr>
          <w:rFonts w:hint="eastAsia" w:ascii="宋体" w:hAnsi="宋体" w:cs="宋体"/>
          <w:color w:val="000000"/>
          <w:szCs w:val="21"/>
        </w:rPr>
        <w:t>）超出规定</w:t>
      </w:r>
      <w:r>
        <w:rPr>
          <w:rFonts w:hint="eastAsia" w:ascii="宋体" w:hAnsi="宋体" w:cs="宋体"/>
          <w:color w:val="000000"/>
          <w:szCs w:val="21"/>
          <w:lang w:eastAsia="zh-CN"/>
        </w:rPr>
        <w:t>评审</w:t>
      </w:r>
      <w:r>
        <w:rPr>
          <w:rFonts w:hint="eastAsia" w:ascii="宋体" w:hAnsi="宋体" w:cs="宋体"/>
          <w:color w:val="000000"/>
          <w:szCs w:val="21"/>
        </w:rPr>
        <w:t>、</w:t>
      </w:r>
      <w:r>
        <w:rPr>
          <w:rFonts w:hint="eastAsia" w:ascii="宋体" w:hAnsi="宋体" w:cs="宋体"/>
          <w:color w:val="000000"/>
          <w:szCs w:val="21"/>
          <w:lang w:eastAsia="zh-CN"/>
        </w:rPr>
        <w:t>招标</w:t>
      </w:r>
      <w:r>
        <w:rPr>
          <w:rFonts w:hint="eastAsia" w:ascii="宋体" w:hAnsi="宋体" w:cs="宋体"/>
          <w:color w:val="000000"/>
          <w:szCs w:val="21"/>
        </w:rPr>
        <w:t>会议时间，不再接收报价文件；</w:t>
      </w:r>
      <w:r>
        <w:rPr>
          <w:rFonts w:hint="eastAsia" w:ascii="宋体" w:hAnsi="宋体" w:cs="宋体"/>
          <w:color w:val="000000"/>
          <w:szCs w:val="21"/>
        </w:rPr>
        <w:br w:type="textWrapping"/>
      </w:r>
      <w:r>
        <w:rPr>
          <w:rFonts w:hint="eastAsia" w:ascii="宋体" w:hAnsi="宋体" w:cs="宋体"/>
          <w:color w:val="000000"/>
          <w:szCs w:val="21"/>
        </w:rPr>
        <w:t>（</w:t>
      </w:r>
      <w:r>
        <w:rPr>
          <w:rFonts w:hint="eastAsia" w:ascii="宋体" w:hAnsi="宋体" w:cs="宋体"/>
          <w:color w:val="000000"/>
          <w:szCs w:val="21"/>
          <w:lang w:val="en-US" w:eastAsia="zh-CN"/>
        </w:rPr>
        <w:t>三</w:t>
      </w:r>
      <w:r>
        <w:rPr>
          <w:rFonts w:hint="eastAsia" w:ascii="宋体" w:hAnsi="宋体" w:cs="宋体"/>
          <w:color w:val="000000"/>
          <w:szCs w:val="21"/>
        </w:rPr>
        <w:t>）报价文件必须密封；</w:t>
      </w:r>
      <w:r>
        <w:rPr>
          <w:rFonts w:hint="eastAsia" w:ascii="宋体" w:hAnsi="宋体" w:cs="宋体"/>
          <w:color w:val="000000"/>
          <w:szCs w:val="21"/>
        </w:rPr>
        <w:br w:type="textWrapping"/>
      </w:r>
      <w:r>
        <w:rPr>
          <w:rFonts w:hint="eastAsia" w:ascii="宋体" w:hAnsi="宋体" w:cs="宋体"/>
          <w:color w:val="000000"/>
          <w:szCs w:val="21"/>
        </w:rPr>
        <w:t>（</w:t>
      </w:r>
      <w:r>
        <w:rPr>
          <w:rFonts w:hint="eastAsia" w:ascii="宋体" w:hAnsi="宋体" w:cs="宋体"/>
          <w:color w:val="000000"/>
          <w:szCs w:val="21"/>
          <w:lang w:val="en-US" w:eastAsia="zh-CN"/>
        </w:rPr>
        <w:t>四</w:t>
      </w:r>
      <w:r>
        <w:rPr>
          <w:rFonts w:hint="eastAsia" w:ascii="宋体" w:hAnsi="宋体" w:cs="宋体"/>
          <w:color w:val="000000"/>
          <w:szCs w:val="21"/>
        </w:rPr>
        <w:t>）所有纸质文件正本必须逐页盖章；</w:t>
      </w:r>
      <w:r>
        <w:rPr>
          <w:rFonts w:hint="eastAsia" w:ascii="宋体" w:hAnsi="宋体" w:cs="宋体"/>
          <w:color w:val="000000"/>
          <w:szCs w:val="21"/>
        </w:rPr>
        <w:br w:type="textWrapping"/>
      </w:r>
      <w:r>
        <w:rPr>
          <w:rFonts w:hint="eastAsia" w:ascii="宋体" w:hAnsi="宋体" w:cs="宋体"/>
          <w:color w:val="000000"/>
          <w:szCs w:val="21"/>
        </w:rPr>
        <w:t>（</w:t>
      </w:r>
      <w:r>
        <w:rPr>
          <w:rFonts w:hint="eastAsia" w:ascii="宋体" w:hAnsi="宋体" w:cs="宋体"/>
          <w:color w:val="000000"/>
          <w:szCs w:val="21"/>
          <w:lang w:val="en-US" w:eastAsia="zh-CN"/>
        </w:rPr>
        <w:t>五</w:t>
      </w:r>
      <w:r>
        <w:rPr>
          <w:rFonts w:hint="eastAsia" w:ascii="宋体" w:hAnsi="宋体" w:cs="宋体"/>
          <w:color w:val="000000"/>
          <w:szCs w:val="21"/>
        </w:rPr>
        <w:t>）所有文件一式</w:t>
      </w:r>
      <w:r>
        <w:rPr>
          <w:rFonts w:hint="eastAsia" w:ascii="宋体" w:hAnsi="宋体" w:cs="宋体"/>
          <w:color w:val="000000"/>
          <w:szCs w:val="21"/>
          <w:lang w:val="en-US" w:eastAsia="zh-CN"/>
        </w:rPr>
        <w:t>六</w:t>
      </w:r>
      <w:r>
        <w:rPr>
          <w:rFonts w:hint="eastAsia" w:ascii="宋体" w:hAnsi="宋体" w:cs="宋体"/>
          <w:color w:val="000000"/>
          <w:szCs w:val="21"/>
        </w:rPr>
        <w:t>份（一正</w:t>
      </w:r>
      <w:r>
        <w:rPr>
          <w:rFonts w:hint="eastAsia" w:ascii="宋体" w:hAnsi="宋体" w:cs="宋体"/>
          <w:color w:val="000000"/>
          <w:szCs w:val="21"/>
          <w:lang w:val="en-US" w:eastAsia="zh-CN"/>
        </w:rPr>
        <w:t>五</w:t>
      </w:r>
      <w:r>
        <w:rPr>
          <w:rFonts w:hint="eastAsia" w:ascii="宋体" w:hAnsi="宋体" w:cs="宋体"/>
          <w:color w:val="000000"/>
          <w:szCs w:val="21"/>
        </w:rPr>
        <w:t>副）；</w:t>
      </w:r>
    </w:p>
    <w:p w14:paraId="0F1EE858">
      <w:pPr>
        <w:widowControl w:val="0"/>
        <w:spacing w:line="420" w:lineRule="exact"/>
        <w:ind w:firstLine="420" w:firstLineChars="200"/>
        <w:jc w:val="both"/>
        <w:textAlignment w:val="auto"/>
        <w:rPr>
          <w:rFonts w:ascii="宋体" w:hAnsi="宋体" w:cs="宋体"/>
          <w:color w:val="000000"/>
          <w:szCs w:val="21"/>
        </w:rPr>
      </w:pPr>
      <w:r>
        <w:rPr>
          <w:rFonts w:hint="eastAsia" w:ascii="宋体" w:hAnsi="宋体" w:cs="宋体"/>
          <w:color w:val="000000"/>
          <w:szCs w:val="21"/>
          <w:lang w:eastAsia="zh-CN"/>
        </w:rPr>
        <w:t>（</w:t>
      </w:r>
      <w:r>
        <w:rPr>
          <w:rFonts w:hint="eastAsia" w:ascii="宋体" w:hAnsi="宋体" w:cs="宋体"/>
          <w:color w:val="000000"/>
          <w:szCs w:val="21"/>
          <w:lang w:val="en-US" w:eastAsia="zh-CN"/>
        </w:rPr>
        <w:t>六</w:t>
      </w:r>
      <w:r>
        <w:rPr>
          <w:rFonts w:hint="eastAsia" w:ascii="宋体" w:hAnsi="宋体" w:cs="宋体"/>
          <w:color w:val="000000"/>
          <w:szCs w:val="21"/>
          <w:lang w:eastAsia="zh-CN"/>
        </w:rPr>
        <w:t>）</w:t>
      </w:r>
      <w:r>
        <w:rPr>
          <w:rFonts w:hint="eastAsia" w:ascii="宋体" w:hAnsi="宋体" w:cs="宋体"/>
          <w:color w:val="000000"/>
          <w:szCs w:val="21"/>
        </w:rPr>
        <w:t>提交的报价文件如不符合一至五项要求则取消</w:t>
      </w:r>
      <w:r>
        <w:rPr>
          <w:rFonts w:hint="eastAsia" w:ascii="宋体" w:hAnsi="宋体" w:cs="宋体"/>
          <w:color w:val="000000"/>
          <w:szCs w:val="21"/>
          <w:lang w:val="en-US" w:eastAsia="zh-CN"/>
        </w:rPr>
        <w:t>参加评审</w:t>
      </w:r>
      <w:r>
        <w:rPr>
          <w:rFonts w:hint="eastAsia" w:ascii="宋体" w:hAnsi="宋体" w:cs="宋体"/>
          <w:color w:val="000000"/>
          <w:szCs w:val="21"/>
        </w:rPr>
        <w:t>资格。</w:t>
      </w:r>
    </w:p>
    <w:p w14:paraId="159476FD">
      <w:pPr>
        <w:pStyle w:val="10"/>
        <w:spacing w:line="400" w:lineRule="exact"/>
        <w:ind w:left="631" w:leftChars="200" w:hanging="211" w:hangingChars="100"/>
        <w:rPr>
          <w:rStyle w:val="36"/>
          <w:rFonts w:hint="eastAsia"/>
          <w:b/>
        </w:rPr>
      </w:pPr>
      <w:r>
        <w:rPr>
          <w:rStyle w:val="36"/>
          <w:rFonts w:hint="eastAsia"/>
          <w:b/>
          <w:lang w:val="en-US" w:eastAsia="zh-CN"/>
        </w:rPr>
        <w:t>七</w:t>
      </w:r>
      <w:r>
        <w:rPr>
          <w:rStyle w:val="36"/>
          <w:rFonts w:hint="eastAsia"/>
          <w:b/>
        </w:rPr>
        <w:t>、</w:t>
      </w:r>
      <w:r>
        <w:rPr>
          <w:rStyle w:val="36"/>
          <w:rFonts w:hint="eastAsia"/>
          <w:b/>
          <w:lang w:eastAsia="zh-CN"/>
        </w:rPr>
        <w:t>招标</w:t>
      </w:r>
      <w:r>
        <w:rPr>
          <w:rStyle w:val="36"/>
          <w:rFonts w:hint="eastAsia"/>
          <w:b/>
        </w:rPr>
        <w:t>评审标准</w:t>
      </w:r>
    </w:p>
    <w:p w14:paraId="491F1409">
      <w:pPr>
        <w:pStyle w:val="10"/>
        <w:spacing w:line="400" w:lineRule="exact"/>
        <w:ind w:firstLine="420" w:firstLineChars="200"/>
        <w:rPr>
          <w:rFonts w:hint="eastAsia" w:ascii="宋体" w:hAnsi="宋体" w:eastAsia="宋体" w:cs="Times New Roman"/>
          <w:color w:val="0000FF"/>
          <w:kern w:val="2"/>
          <w:sz w:val="21"/>
          <w:szCs w:val="21"/>
          <w:lang w:val="en-US" w:eastAsia="zh-CN" w:bidi="ar-SA"/>
        </w:rPr>
      </w:pPr>
      <w:r>
        <w:rPr>
          <w:rStyle w:val="36"/>
          <w:rFonts w:ascii="宋体" w:hAnsi="宋体"/>
          <w:szCs w:val="21"/>
        </w:rPr>
        <w:t>综合评分法，具体评分内容及标准详见</w:t>
      </w:r>
      <w:r>
        <w:rPr>
          <w:rStyle w:val="36"/>
          <w:rFonts w:hint="eastAsia" w:ascii="宋体" w:hAnsi="宋体"/>
          <w:szCs w:val="21"/>
          <w:lang w:val="en-US" w:eastAsia="zh-CN"/>
        </w:rPr>
        <w:t>附件</w:t>
      </w:r>
      <w:r>
        <w:rPr>
          <w:rStyle w:val="36"/>
          <w:rFonts w:hint="eastAsia" w:hAnsi="宋体"/>
          <w:szCs w:val="21"/>
          <w:lang w:val="en-US" w:eastAsia="zh-CN"/>
        </w:rPr>
        <w:t>。</w:t>
      </w:r>
      <w:r>
        <w:rPr>
          <w:rFonts w:hint="eastAsia" w:ascii="宋体" w:hAnsi="宋体" w:eastAsia="宋体" w:cs="Times New Roman"/>
          <w:b w:val="0"/>
          <w:bCs w:val="0"/>
          <w:sz w:val="21"/>
          <w:highlight w:val="none"/>
          <w:lang w:val="en-US" w:eastAsia="zh-CN"/>
        </w:rPr>
        <w:t>得分最高的为第一候选中标供应商。第一候选中标供应商自动放弃中标、因不可抗力提出不能履行合同，或因失信等行为被取消第一候选供应商资格的，采购人可以确定排名第二的中标候选供应商为中标人，并依此类推。</w:t>
      </w:r>
    </w:p>
    <w:p w14:paraId="7767E68C">
      <w:pPr>
        <w:widowControl w:val="0"/>
        <w:spacing w:line="420" w:lineRule="exact"/>
        <w:ind w:left="420" w:leftChars="200" w:firstLine="0" w:firstLineChars="0"/>
        <w:jc w:val="both"/>
        <w:textAlignment w:val="auto"/>
        <w:rPr>
          <w:rFonts w:ascii="宋体" w:hAnsi="宋体" w:cs="宋体"/>
          <w:color w:val="000000"/>
          <w:szCs w:val="21"/>
        </w:rPr>
      </w:pPr>
    </w:p>
    <w:p w14:paraId="3067D7C5">
      <w:pPr>
        <w:spacing w:line="420" w:lineRule="exact"/>
        <w:ind w:firstLine="422" w:firstLineChars="200"/>
        <w:jc w:val="both"/>
        <w:rPr>
          <w:rStyle w:val="36"/>
          <w:rFonts w:ascii="宋体" w:hAnsi="宋体"/>
          <w:szCs w:val="21"/>
        </w:rPr>
      </w:pPr>
      <w:r>
        <w:rPr>
          <w:rStyle w:val="36"/>
          <w:rFonts w:hint="eastAsia" w:ascii="宋体" w:hAnsi="宋体"/>
          <w:b/>
          <w:szCs w:val="21"/>
          <w:lang w:val="en-US" w:eastAsia="zh-CN"/>
        </w:rPr>
        <w:t>八</w:t>
      </w:r>
      <w:r>
        <w:rPr>
          <w:rStyle w:val="36"/>
          <w:rFonts w:ascii="宋体" w:hAnsi="宋体"/>
          <w:b/>
          <w:szCs w:val="21"/>
        </w:rPr>
        <w:t>、</w:t>
      </w:r>
      <w:r>
        <w:rPr>
          <w:rStyle w:val="36"/>
          <w:rFonts w:hint="eastAsia" w:ascii="宋体" w:hAnsi="宋体"/>
          <w:b/>
          <w:szCs w:val="21"/>
          <w:lang w:val="en-US" w:eastAsia="zh-CN"/>
        </w:rPr>
        <w:t>开标</w:t>
      </w:r>
      <w:r>
        <w:rPr>
          <w:rStyle w:val="36"/>
          <w:rFonts w:ascii="宋体" w:hAnsi="宋体"/>
          <w:b/>
          <w:szCs w:val="21"/>
        </w:rPr>
        <w:t>时间：</w:t>
      </w:r>
      <w:r>
        <w:rPr>
          <w:rStyle w:val="36"/>
          <w:rFonts w:ascii="宋体" w:hAnsi="宋体"/>
          <w:szCs w:val="21"/>
        </w:rPr>
        <w:t>另行通知</w:t>
      </w:r>
    </w:p>
    <w:p w14:paraId="2B58DDFC">
      <w:pPr>
        <w:spacing w:line="420" w:lineRule="exact"/>
        <w:ind w:firstLine="415" w:firstLineChars="197"/>
        <w:jc w:val="both"/>
        <w:rPr>
          <w:rStyle w:val="36"/>
          <w:rFonts w:ascii="宋体" w:hAnsi="宋体"/>
          <w:szCs w:val="21"/>
        </w:rPr>
      </w:pPr>
      <w:r>
        <w:rPr>
          <w:rStyle w:val="36"/>
          <w:rFonts w:hint="eastAsia" w:ascii="宋体" w:hAnsi="宋体"/>
          <w:b/>
          <w:szCs w:val="21"/>
          <w:lang w:val="en-US" w:eastAsia="zh-CN"/>
        </w:rPr>
        <w:t>九</w:t>
      </w:r>
      <w:r>
        <w:rPr>
          <w:rStyle w:val="36"/>
          <w:rFonts w:ascii="宋体" w:hAnsi="宋体"/>
          <w:b/>
          <w:szCs w:val="21"/>
        </w:rPr>
        <w:t>、</w:t>
      </w:r>
      <w:r>
        <w:rPr>
          <w:rStyle w:val="36"/>
          <w:rFonts w:hint="eastAsia" w:ascii="宋体" w:hAnsi="宋体"/>
          <w:b/>
          <w:szCs w:val="21"/>
          <w:lang w:eastAsia="zh-CN"/>
        </w:rPr>
        <w:t>招标</w:t>
      </w:r>
      <w:r>
        <w:rPr>
          <w:rStyle w:val="36"/>
          <w:rFonts w:hint="eastAsia" w:ascii="宋体" w:hAnsi="宋体"/>
          <w:b/>
          <w:szCs w:val="21"/>
        </w:rPr>
        <w:t>地点</w:t>
      </w:r>
      <w:r>
        <w:rPr>
          <w:rStyle w:val="36"/>
          <w:rFonts w:ascii="宋体" w:hAnsi="宋体"/>
          <w:b/>
          <w:szCs w:val="21"/>
        </w:rPr>
        <w:t>：</w:t>
      </w:r>
      <w:r>
        <w:rPr>
          <w:rStyle w:val="36"/>
          <w:rFonts w:hint="eastAsia" w:ascii="宋体" w:hAnsi="宋体"/>
          <w:szCs w:val="21"/>
        </w:rPr>
        <w:t>桂林市中西医结合医院</w:t>
      </w:r>
      <w:r>
        <w:rPr>
          <w:rStyle w:val="36"/>
          <w:rFonts w:ascii="宋体" w:hAnsi="宋体"/>
          <w:szCs w:val="21"/>
        </w:rPr>
        <w:t xml:space="preserve"> </w:t>
      </w:r>
    </w:p>
    <w:p w14:paraId="012738B4">
      <w:pPr>
        <w:spacing w:line="240" w:lineRule="atLeast"/>
        <w:ind w:firstLine="422" w:firstLineChars="200"/>
        <w:jc w:val="both"/>
        <w:rPr>
          <w:rStyle w:val="36"/>
          <w:rFonts w:ascii="宋体" w:hAnsi="宋体" w:cs="宋体"/>
          <w:sz w:val="24"/>
        </w:rPr>
      </w:pPr>
      <w:r>
        <w:rPr>
          <w:rStyle w:val="36"/>
          <w:rFonts w:hint="eastAsia" w:ascii="宋体" w:hAnsi="宋体"/>
          <w:b/>
          <w:szCs w:val="21"/>
          <w:lang w:val="en-US" w:eastAsia="zh-CN"/>
        </w:rPr>
        <w:t>十</w:t>
      </w:r>
      <w:r>
        <w:rPr>
          <w:rStyle w:val="36"/>
          <w:rFonts w:ascii="宋体" w:hAnsi="宋体"/>
          <w:b/>
          <w:szCs w:val="21"/>
        </w:rPr>
        <w:t>、联系人及方式：</w:t>
      </w:r>
      <w:r>
        <w:rPr>
          <w:rStyle w:val="36"/>
          <w:rFonts w:hint="eastAsia"/>
          <w:szCs w:val="21"/>
        </w:rPr>
        <w:t>郭老师，电话：0</w:t>
      </w:r>
      <w:r>
        <w:rPr>
          <w:rStyle w:val="36"/>
          <w:szCs w:val="21"/>
        </w:rPr>
        <w:t>773</w:t>
      </w:r>
      <w:r>
        <w:rPr>
          <w:rStyle w:val="36"/>
          <w:rFonts w:hint="eastAsia"/>
          <w:szCs w:val="21"/>
        </w:rPr>
        <w:t>-</w:t>
      </w:r>
      <w:r>
        <w:rPr>
          <w:rStyle w:val="36"/>
          <w:szCs w:val="21"/>
        </w:rPr>
        <w:t>3569995</w:t>
      </w:r>
      <w:r>
        <w:rPr>
          <w:rStyle w:val="36"/>
          <w:rFonts w:hint="eastAsia"/>
          <w:szCs w:val="21"/>
        </w:rPr>
        <w:t>。</w:t>
      </w:r>
    </w:p>
    <w:p w14:paraId="4EBD6138">
      <w:pPr>
        <w:pStyle w:val="39"/>
        <w:spacing w:line="420" w:lineRule="exact"/>
        <w:ind w:firstLine="415" w:firstLineChars="197"/>
        <w:jc w:val="both"/>
        <w:rPr>
          <w:rStyle w:val="36"/>
          <w:rFonts w:hAnsi="宋体" w:cs="宋体"/>
          <w:b/>
          <w:bCs/>
          <w:szCs w:val="21"/>
        </w:rPr>
      </w:pPr>
      <w:r>
        <w:rPr>
          <w:rStyle w:val="36"/>
          <w:rFonts w:hint="eastAsia" w:hAnsi="宋体"/>
          <w:b/>
          <w:szCs w:val="21"/>
          <w:lang w:val="en-US" w:eastAsia="zh-CN"/>
        </w:rPr>
        <w:t>十一</w:t>
      </w:r>
      <w:r>
        <w:rPr>
          <w:rStyle w:val="36"/>
          <w:rFonts w:hAnsi="宋体"/>
          <w:b/>
          <w:szCs w:val="21"/>
        </w:rPr>
        <w:t>、</w:t>
      </w:r>
      <w:r>
        <w:rPr>
          <w:rStyle w:val="36"/>
          <w:rFonts w:hAnsi="宋体"/>
          <w:b/>
          <w:color w:val="000000"/>
          <w:kern w:val="0"/>
          <w:szCs w:val="21"/>
        </w:rPr>
        <w:t>信息公告发布媒体：</w:t>
      </w:r>
      <w:r>
        <w:rPr>
          <w:rStyle w:val="36"/>
          <w:rFonts w:hAnsi="宋体"/>
          <w:color w:val="000000"/>
          <w:kern w:val="0"/>
          <w:szCs w:val="21"/>
        </w:rPr>
        <w:t>桂林市中西医结合医院内网和外网。</w:t>
      </w:r>
    </w:p>
    <w:p w14:paraId="300B1733">
      <w:pPr>
        <w:spacing w:line="420" w:lineRule="exact"/>
        <w:ind w:firstLine="422" w:firstLineChars="200"/>
        <w:jc w:val="left"/>
        <w:rPr>
          <w:rStyle w:val="36"/>
          <w:rFonts w:hint="eastAsia" w:ascii="宋体" w:hAnsi="宋体"/>
          <w:b/>
          <w:bCs w:val="0"/>
          <w:color w:val="000000"/>
          <w:szCs w:val="21"/>
        </w:rPr>
      </w:pPr>
    </w:p>
    <w:p w14:paraId="4439BCB9">
      <w:pPr>
        <w:spacing w:line="420" w:lineRule="exact"/>
        <w:ind w:right="98" w:firstLine="5040" w:firstLineChars="2400"/>
        <w:jc w:val="left"/>
        <w:rPr>
          <w:rStyle w:val="36"/>
          <w:rFonts w:ascii="宋体" w:hAnsi="宋体"/>
          <w:szCs w:val="21"/>
        </w:rPr>
      </w:pPr>
      <w:r>
        <w:rPr>
          <w:rStyle w:val="36"/>
          <w:rFonts w:ascii="宋体" w:hAnsi="宋体"/>
          <w:szCs w:val="21"/>
        </w:rPr>
        <w:t>桂林市中西医结合医院</w:t>
      </w:r>
    </w:p>
    <w:p w14:paraId="03BF77C1">
      <w:pPr>
        <w:spacing w:line="420" w:lineRule="exact"/>
        <w:ind w:right="98" w:firstLine="5460" w:firstLineChars="2600"/>
        <w:jc w:val="left"/>
        <w:rPr>
          <w:rStyle w:val="36"/>
          <w:rFonts w:ascii="宋体" w:hAnsi="宋体"/>
          <w:szCs w:val="21"/>
        </w:rPr>
      </w:pPr>
      <w:r>
        <w:rPr>
          <w:rStyle w:val="36"/>
          <w:rFonts w:ascii="宋体" w:hAnsi="宋体"/>
          <w:szCs w:val="21"/>
        </w:rPr>
        <w:t>20</w:t>
      </w:r>
      <w:r>
        <w:rPr>
          <w:rStyle w:val="36"/>
          <w:rFonts w:hint="eastAsia" w:hAnsi="宋体"/>
          <w:szCs w:val="21"/>
        </w:rPr>
        <w:t>2</w:t>
      </w:r>
      <w:r>
        <w:rPr>
          <w:rStyle w:val="36"/>
          <w:rFonts w:hint="eastAsia" w:hAnsi="宋体"/>
          <w:szCs w:val="21"/>
          <w:lang w:val="en-US" w:eastAsia="zh-CN"/>
        </w:rPr>
        <w:t>6</w:t>
      </w:r>
      <w:r>
        <w:rPr>
          <w:rStyle w:val="36"/>
          <w:rFonts w:ascii="宋体" w:hAnsi="宋体"/>
          <w:szCs w:val="21"/>
        </w:rPr>
        <w:t>年</w:t>
      </w:r>
      <w:r>
        <w:rPr>
          <w:rStyle w:val="36"/>
          <w:rFonts w:hint="eastAsia" w:ascii="宋体" w:hAnsi="宋体"/>
          <w:szCs w:val="21"/>
          <w:lang w:val="en-US" w:eastAsia="zh-CN"/>
        </w:rPr>
        <w:t>10</w:t>
      </w:r>
      <w:r>
        <w:rPr>
          <w:rStyle w:val="36"/>
          <w:rFonts w:ascii="宋体" w:hAnsi="宋体"/>
          <w:szCs w:val="21"/>
        </w:rPr>
        <w:t>月</w:t>
      </w:r>
      <w:r>
        <w:rPr>
          <w:rStyle w:val="36"/>
          <w:rFonts w:hint="eastAsia" w:ascii="宋体" w:hAnsi="宋体"/>
          <w:szCs w:val="21"/>
          <w:lang w:val="en-US" w:eastAsia="zh-CN"/>
        </w:rPr>
        <w:t>26</w:t>
      </w:r>
      <w:r>
        <w:rPr>
          <w:rStyle w:val="36"/>
          <w:rFonts w:ascii="宋体" w:hAnsi="宋体"/>
          <w:szCs w:val="21"/>
        </w:rPr>
        <w:t>日</w:t>
      </w:r>
    </w:p>
    <w:p w14:paraId="6CA8F1BC">
      <w:pPr>
        <w:spacing w:line="420" w:lineRule="exact"/>
        <w:ind w:firstLine="422" w:firstLineChars="200"/>
        <w:jc w:val="left"/>
        <w:rPr>
          <w:rStyle w:val="36"/>
          <w:rFonts w:hint="eastAsia" w:ascii="宋体" w:hAnsi="宋体"/>
          <w:b/>
          <w:bCs w:val="0"/>
          <w:color w:val="000000"/>
          <w:szCs w:val="21"/>
          <w:lang w:val="en-US" w:eastAsia="zh-CN"/>
        </w:rPr>
      </w:pPr>
    </w:p>
    <w:p w14:paraId="3E04726A">
      <w:pPr>
        <w:spacing w:line="420" w:lineRule="exact"/>
        <w:ind w:firstLine="422" w:firstLineChars="200"/>
        <w:jc w:val="left"/>
        <w:rPr>
          <w:rStyle w:val="36"/>
          <w:rFonts w:hint="eastAsia" w:ascii="宋体" w:hAnsi="宋体"/>
          <w:b/>
          <w:bCs w:val="0"/>
          <w:color w:val="000000"/>
          <w:szCs w:val="21"/>
          <w:lang w:val="en-US" w:eastAsia="zh-CN"/>
        </w:rPr>
      </w:pPr>
      <w:r>
        <w:rPr>
          <w:rStyle w:val="36"/>
          <w:rFonts w:hint="eastAsia" w:ascii="宋体" w:hAnsi="宋体"/>
          <w:b/>
          <w:bCs w:val="0"/>
          <w:color w:val="000000"/>
          <w:szCs w:val="21"/>
          <w:lang w:val="en-US" w:eastAsia="zh-CN"/>
        </w:rPr>
        <w:t>附件1：</w:t>
      </w:r>
      <w:bookmarkStart w:id="4" w:name="_GoBack"/>
      <w:bookmarkEnd w:id="4"/>
    </w:p>
    <w:p w14:paraId="3F49DF78">
      <w:pPr>
        <w:widowControl w:val="0"/>
        <w:spacing w:line="420" w:lineRule="exact"/>
        <w:ind w:firstLine="4819" w:firstLineChars="1500"/>
        <w:jc w:val="both"/>
        <w:textAlignment w:val="auto"/>
        <w:rPr>
          <w:rStyle w:val="36"/>
          <w:rFonts w:hint="eastAsia"/>
          <w:b/>
          <w:sz w:val="32"/>
          <w:szCs w:val="32"/>
          <w:lang w:val="en-US" w:eastAsia="zh-CN"/>
        </w:rPr>
      </w:pPr>
      <w:r>
        <w:rPr>
          <w:rStyle w:val="36"/>
          <w:rFonts w:hint="eastAsia"/>
          <w:b/>
          <w:sz w:val="32"/>
          <w:szCs w:val="32"/>
          <w:lang w:val="en-US" w:eastAsia="zh-CN"/>
        </w:rPr>
        <w:t>服务采购需求</w:t>
      </w:r>
    </w:p>
    <w:p w14:paraId="42D52FB8">
      <w:pPr>
        <w:spacing w:line="420" w:lineRule="exact"/>
        <w:ind w:firstLine="422" w:firstLineChars="200"/>
        <w:jc w:val="left"/>
        <w:rPr>
          <w:rStyle w:val="36"/>
          <w:rFonts w:hint="eastAsia" w:ascii="宋体" w:hAnsi="宋体"/>
          <w:b/>
          <w:bCs w:val="0"/>
          <w:color w:val="000000"/>
          <w:szCs w:val="21"/>
        </w:rPr>
      </w:pPr>
      <w:r>
        <w:rPr>
          <w:rStyle w:val="36"/>
          <w:rFonts w:hint="eastAsia" w:ascii="宋体" w:hAnsi="宋体"/>
          <w:b/>
          <w:bCs w:val="0"/>
          <w:color w:val="000000"/>
          <w:szCs w:val="21"/>
        </w:rPr>
        <w:t>（</w:t>
      </w:r>
      <w:r>
        <w:rPr>
          <w:rStyle w:val="36"/>
          <w:rFonts w:hint="eastAsia" w:ascii="宋体" w:hAnsi="宋体"/>
          <w:b/>
          <w:bCs w:val="0"/>
          <w:color w:val="000000"/>
          <w:szCs w:val="21"/>
          <w:lang w:val="en-US" w:eastAsia="zh-CN"/>
        </w:rPr>
        <w:t>一</w:t>
      </w:r>
      <w:r>
        <w:rPr>
          <w:rStyle w:val="36"/>
          <w:rFonts w:hint="eastAsia" w:ascii="宋体" w:hAnsi="宋体"/>
          <w:b/>
          <w:bCs w:val="0"/>
          <w:color w:val="000000"/>
          <w:szCs w:val="21"/>
        </w:rPr>
        <w:t>）医疗护理员基本要求</w:t>
      </w:r>
    </w:p>
    <w:p w14:paraId="4340C7F8">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1.医疗护理员必须持有执业资格证书（必须获得医疗护理员相应职业技能证书如国家职业资格证书、职业技能等级证书、专项职业能力证书或培训合格证书）、身份证及当年身体健康证明。</w:t>
      </w:r>
    </w:p>
    <w:p w14:paraId="110312EA">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2.年龄18-</w:t>
      </w:r>
      <w:r>
        <w:rPr>
          <w:rStyle w:val="36"/>
          <w:rFonts w:hint="eastAsia" w:ascii="宋体" w:hAnsi="宋体"/>
          <w:b w:val="0"/>
          <w:bCs/>
          <w:color w:val="000000"/>
          <w:szCs w:val="21"/>
          <w:lang w:val="en-US" w:eastAsia="zh-CN"/>
        </w:rPr>
        <w:t>60</w:t>
      </w:r>
      <w:r>
        <w:rPr>
          <w:rStyle w:val="36"/>
          <w:rFonts w:hint="eastAsia" w:ascii="宋体" w:hAnsi="宋体"/>
          <w:b w:val="0"/>
          <w:bCs/>
          <w:color w:val="000000"/>
          <w:szCs w:val="21"/>
        </w:rPr>
        <w:t>周岁，初中及以上学历，男女均可。</w:t>
      </w:r>
    </w:p>
    <w:p w14:paraId="3B0BF9A9">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3.规范着装、佩戴工牌，服从医院管理，严格遵守医院及病房的各项规章制度。</w:t>
      </w:r>
    </w:p>
    <w:p w14:paraId="1E112519">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4.医疗护理员必须品行良好，有责任心，具备良好</w:t>
      </w:r>
      <w:r>
        <w:rPr>
          <w:rStyle w:val="36"/>
          <w:rFonts w:hint="eastAsia" w:ascii="宋体" w:hAnsi="宋体"/>
          <w:b w:val="0"/>
          <w:bCs/>
          <w:color w:val="000000"/>
          <w:szCs w:val="21"/>
          <w:lang w:eastAsia="zh-CN"/>
        </w:rPr>
        <w:t>的</w:t>
      </w:r>
      <w:r>
        <w:rPr>
          <w:rStyle w:val="36"/>
          <w:rFonts w:hint="eastAsia" w:ascii="宋体" w:hAnsi="宋体"/>
          <w:b w:val="0"/>
          <w:bCs/>
          <w:color w:val="000000"/>
          <w:szCs w:val="21"/>
          <w:lang w:val="en-US" w:eastAsia="zh-CN"/>
        </w:rPr>
        <w:t>学习能力和</w:t>
      </w:r>
      <w:r>
        <w:rPr>
          <w:rStyle w:val="36"/>
          <w:rFonts w:hint="eastAsia" w:ascii="宋体" w:hAnsi="宋体"/>
          <w:b w:val="0"/>
          <w:bCs/>
          <w:color w:val="000000"/>
          <w:szCs w:val="21"/>
        </w:rPr>
        <w:t>沟通能力，尊重关心爱护服务对象，</w:t>
      </w:r>
      <w:r>
        <w:rPr>
          <w:rStyle w:val="36"/>
          <w:rFonts w:hint="eastAsia" w:ascii="宋体" w:hAnsi="宋体"/>
          <w:b w:val="0"/>
          <w:bCs/>
          <w:color w:val="000000"/>
          <w:szCs w:val="21"/>
          <w:lang w:val="en-US" w:eastAsia="zh-CN"/>
        </w:rPr>
        <w:t>保护隐私，</w:t>
      </w:r>
      <w:r>
        <w:rPr>
          <w:rStyle w:val="36"/>
          <w:rFonts w:hint="eastAsia" w:ascii="宋体" w:hAnsi="宋体"/>
          <w:b w:val="0"/>
          <w:bCs/>
          <w:color w:val="000000"/>
          <w:szCs w:val="21"/>
        </w:rPr>
        <w:t>有较好的团队协作精神，无刑事犯罪记录及其他不适合从事陪护工作的情况。</w:t>
      </w:r>
    </w:p>
    <w:p w14:paraId="3DA5AA64">
      <w:pPr>
        <w:spacing w:line="420" w:lineRule="exact"/>
        <w:ind w:firstLine="420" w:firstLineChars="200"/>
        <w:jc w:val="left"/>
        <w:rPr>
          <w:rStyle w:val="36"/>
          <w:rFonts w:hint="eastAsia" w:ascii="宋体" w:hAnsi="宋体"/>
          <w:b w:val="0"/>
          <w:bCs/>
          <w:color w:val="000000"/>
          <w:szCs w:val="21"/>
          <w:lang w:val="en-US" w:eastAsia="zh-CN"/>
        </w:rPr>
      </w:pPr>
      <w:r>
        <w:rPr>
          <w:rStyle w:val="36"/>
          <w:rFonts w:hint="eastAsia" w:ascii="宋体" w:hAnsi="宋体"/>
          <w:b w:val="0"/>
          <w:bCs/>
          <w:color w:val="000000"/>
          <w:szCs w:val="21"/>
          <w:lang w:val="en-US" w:eastAsia="zh-CN"/>
        </w:rPr>
        <w:t>5.身心健康，四肢灵活，动作协调，具有体力和耐力。</w:t>
      </w:r>
    </w:p>
    <w:p w14:paraId="5E24A1C1">
      <w:pPr>
        <w:spacing w:line="420" w:lineRule="exact"/>
        <w:ind w:firstLine="420" w:firstLineChars="200"/>
        <w:jc w:val="left"/>
        <w:rPr>
          <w:rStyle w:val="36"/>
          <w:rFonts w:hint="eastAsia" w:ascii="宋体" w:hAnsi="宋体"/>
          <w:b w:val="0"/>
          <w:bCs/>
          <w:color w:val="000000"/>
          <w:szCs w:val="21"/>
          <w:lang w:val="en-US" w:eastAsia="zh-CN"/>
        </w:rPr>
      </w:pPr>
      <w:r>
        <w:rPr>
          <w:rStyle w:val="36"/>
          <w:rFonts w:hint="eastAsia" w:ascii="宋体" w:hAnsi="宋体"/>
          <w:b w:val="0"/>
          <w:bCs/>
          <w:color w:val="000000"/>
          <w:szCs w:val="21"/>
          <w:lang w:val="en-US" w:eastAsia="zh-CN"/>
        </w:rPr>
        <w:t>6.完成医院岗前培训并考核合格。</w:t>
      </w:r>
    </w:p>
    <w:p w14:paraId="520D490E">
      <w:pPr>
        <w:spacing w:line="420" w:lineRule="exact"/>
        <w:ind w:firstLine="420" w:firstLineChars="200"/>
        <w:jc w:val="left"/>
        <w:rPr>
          <w:rStyle w:val="36"/>
          <w:rFonts w:hint="eastAsia" w:ascii="宋体" w:hAnsi="宋体"/>
          <w:b w:val="0"/>
          <w:bCs/>
          <w:color w:val="000000"/>
          <w:szCs w:val="21"/>
          <w:lang w:val="en-US" w:eastAsia="zh-CN"/>
        </w:rPr>
      </w:pPr>
      <w:r>
        <w:rPr>
          <w:rStyle w:val="36"/>
          <w:rFonts w:hint="eastAsia" w:ascii="宋体" w:hAnsi="宋体"/>
          <w:b w:val="0"/>
          <w:bCs/>
          <w:color w:val="000000"/>
          <w:szCs w:val="21"/>
          <w:lang w:val="en-US" w:eastAsia="zh-CN"/>
        </w:rPr>
        <w:t>7.根据《医疗护理员星级评定标准》完成星级评定。</w:t>
      </w:r>
    </w:p>
    <w:p w14:paraId="1A719B27">
      <w:pPr>
        <w:spacing w:line="420" w:lineRule="exact"/>
        <w:ind w:firstLine="420" w:firstLineChars="200"/>
        <w:jc w:val="left"/>
        <w:rPr>
          <w:rStyle w:val="36"/>
          <w:rFonts w:hint="eastAsia" w:ascii="宋体" w:hAnsi="宋体"/>
          <w:b w:val="0"/>
          <w:bCs/>
          <w:color w:val="000000"/>
          <w:szCs w:val="21"/>
          <w:lang w:val="en-US" w:eastAsia="zh-CN"/>
        </w:rPr>
      </w:pPr>
      <w:r>
        <w:rPr>
          <w:rStyle w:val="36"/>
          <w:rFonts w:hint="eastAsia" w:ascii="宋体" w:hAnsi="宋体"/>
          <w:b w:val="0"/>
          <w:bCs/>
          <w:color w:val="000000"/>
          <w:szCs w:val="21"/>
          <w:lang w:val="en-US" w:eastAsia="zh-CN"/>
        </w:rPr>
        <w:t>8.法定节假日备有机动医疗护理员库（不少于5人）。</w:t>
      </w:r>
    </w:p>
    <w:p w14:paraId="783EEC5E">
      <w:pPr>
        <w:spacing w:line="420" w:lineRule="exact"/>
        <w:ind w:firstLine="420" w:firstLineChars="200"/>
        <w:jc w:val="left"/>
        <w:rPr>
          <w:rStyle w:val="36"/>
          <w:rFonts w:hint="default" w:ascii="宋体" w:hAnsi="宋体"/>
          <w:b w:val="0"/>
          <w:bCs/>
          <w:color w:val="000000"/>
          <w:szCs w:val="21"/>
          <w:lang w:val="en-US" w:eastAsia="zh-CN"/>
        </w:rPr>
      </w:pPr>
      <w:r>
        <w:rPr>
          <w:rStyle w:val="36"/>
          <w:rFonts w:hint="eastAsia" w:ascii="宋体" w:hAnsi="宋体"/>
          <w:b w:val="0"/>
          <w:bCs/>
          <w:color w:val="000000"/>
          <w:szCs w:val="21"/>
          <w:lang w:val="en-US" w:eastAsia="zh-CN"/>
        </w:rPr>
        <w:t>9.严格遵守医疗护理员职业守则、工作职责、服务规范、工作须知、“十不允许”等。</w:t>
      </w:r>
    </w:p>
    <w:p w14:paraId="0C882EAD">
      <w:pPr>
        <w:spacing w:line="420" w:lineRule="exact"/>
        <w:ind w:firstLine="422" w:firstLineChars="200"/>
        <w:jc w:val="left"/>
        <w:rPr>
          <w:rStyle w:val="36"/>
          <w:rFonts w:hint="eastAsia" w:ascii="宋体" w:hAnsi="宋体"/>
          <w:b/>
          <w:bCs w:val="0"/>
          <w:color w:val="000000"/>
          <w:szCs w:val="21"/>
        </w:rPr>
      </w:pPr>
      <w:r>
        <w:rPr>
          <w:rStyle w:val="36"/>
          <w:rFonts w:hint="eastAsia" w:ascii="宋体" w:hAnsi="宋体"/>
          <w:b/>
          <w:bCs w:val="0"/>
          <w:color w:val="000000"/>
          <w:szCs w:val="21"/>
        </w:rPr>
        <w:t>（</w:t>
      </w:r>
      <w:r>
        <w:rPr>
          <w:rStyle w:val="36"/>
          <w:rFonts w:hint="eastAsia" w:ascii="宋体" w:hAnsi="宋体"/>
          <w:b/>
          <w:bCs w:val="0"/>
          <w:color w:val="000000"/>
          <w:szCs w:val="21"/>
          <w:lang w:val="en-US" w:eastAsia="zh-CN"/>
        </w:rPr>
        <w:t>二</w:t>
      </w:r>
      <w:r>
        <w:rPr>
          <w:rStyle w:val="36"/>
          <w:rFonts w:hint="eastAsia" w:ascii="宋体" w:hAnsi="宋体"/>
          <w:b/>
          <w:bCs w:val="0"/>
          <w:color w:val="000000"/>
          <w:szCs w:val="21"/>
        </w:rPr>
        <w:t>）服务内容要求</w:t>
      </w:r>
    </w:p>
    <w:p w14:paraId="254DE9BA">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1.在医务人员的指导下，辅助完成相应临床照护工作。</w:t>
      </w:r>
    </w:p>
    <w:p w14:paraId="6E431CA4">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2.遵守国家各部门相关法律法规及医院各项规章制度。</w:t>
      </w:r>
    </w:p>
    <w:p w14:paraId="50FC5D6F">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3.负责每日居室通风，整理并维持室内环境和床单的干净、整齐。</w:t>
      </w:r>
    </w:p>
    <w:p w14:paraId="6ECA645C">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4.负责提供日常生活照护，协助护士为生活不能自理或仅能部分自理的患者提供晨晚间照护。</w:t>
      </w:r>
    </w:p>
    <w:p w14:paraId="4C7A78E6">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5.协助患者</w:t>
      </w:r>
      <w:r>
        <w:rPr>
          <w:rStyle w:val="36"/>
          <w:rFonts w:hint="eastAsia" w:ascii="宋体" w:hAnsi="宋体"/>
          <w:b w:val="0"/>
          <w:bCs/>
          <w:color w:val="000000"/>
          <w:szCs w:val="21"/>
          <w:lang w:val="en-US" w:eastAsia="zh-CN"/>
        </w:rPr>
        <w:t>做好洗漱、进食、</w:t>
      </w:r>
      <w:r>
        <w:rPr>
          <w:rStyle w:val="36"/>
          <w:rFonts w:hint="eastAsia" w:ascii="宋体" w:hAnsi="宋体"/>
          <w:b w:val="0"/>
          <w:bCs/>
          <w:color w:val="000000"/>
          <w:szCs w:val="21"/>
        </w:rPr>
        <w:t>餐后清洁、整理餐具</w:t>
      </w: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更衣、排泄等</w:t>
      </w:r>
      <w:r>
        <w:rPr>
          <w:rStyle w:val="36"/>
          <w:rFonts w:hint="eastAsia" w:ascii="宋体" w:hAnsi="宋体"/>
          <w:b w:val="0"/>
          <w:bCs/>
          <w:color w:val="000000"/>
          <w:szCs w:val="21"/>
        </w:rPr>
        <w:t>。</w:t>
      </w:r>
    </w:p>
    <w:p w14:paraId="767724DD">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6.负责每周定时为患者洗浴、洗头、修剪指（趾）甲。</w:t>
      </w:r>
    </w:p>
    <w:p w14:paraId="53632B9D">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7.协助护士为卧床患者翻身、叩背、</w:t>
      </w:r>
      <w:r>
        <w:rPr>
          <w:rStyle w:val="36"/>
          <w:rFonts w:hint="eastAsia" w:ascii="宋体" w:hAnsi="宋体"/>
          <w:b w:val="0"/>
          <w:bCs/>
          <w:color w:val="000000"/>
          <w:szCs w:val="21"/>
          <w:lang w:val="en-US" w:eastAsia="zh-CN"/>
        </w:rPr>
        <w:t>更换体位，预防压力性损伤。</w:t>
      </w:r>
    </w:p>
    <w:p w14:paraId="043E879D">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8.协助护士完成痰、尿、便标本的留取并放到指定地点。</w:t>
      </w:r>
    </w:p>
    <w:p w14:paraId="22D82201">
      <w:pPr>
        <w:spacing w:line="420" w:lineRule="exact"/>
        <w:ind w:firstLine="420" w:firstLineChars="200"/>
        <w:jc w:val="left"/>
        <w:rPr>
          <w:rStyle w:val="36"/>
          <w:rFonts w:hint="default" w:ascii="宋体" w:hAnsi="宋体" w:eastAsia="宋体"/>
          <w:b w:val="0"/>
          <w:bCs/>
          <w:color w:val="000000"/>
          <w:szCs w:val="21"/>
          <w:lang w:val="en-US" w:eastAsia="zh-CN"/>
        </w:rPr>
      </w:pPr>
      <w:r>
        <w:rPr>
          <w:rStyle w:val="36"/>
          <w:rFonts w:hint="eastAsia" w:ascii="宋体" w:hAnsi="宋体"/>
          <w:b w:val="0"/>
          <w:bCs/>
          <w:color w:val="000000"/>
          <w:szCs w:val="21"/>
          <w:lang w:val="en-US" w:eastAsia="zh-CN"/>
        </w:rPr>
        <w:t>9.帮助患者按时服药、看护输液、</w:t>
      </w:r>
      <w:r>
        <w:rPr>
          <w:rStyle w:val="36"/>
          <w:rFonts w:hint="eastAsia" w:ascii="宋体" w:hAnsi="宋体"/>
          <w:b w:val="0"/>
          <w:bCs/>
          <w:color w:val="000000"/>
          <w:szCs w:val="21"/>
        </w:rPr>
        <w:t>大小便后进行会阴部</w:t>
      </w:r>
      <w:r>
        <w:rPr>
          <w:rStyle w:val="36"/>
          <w:rFonts w:hint="eastAsia" w:ascii="宋体" w:hAnsi="宋体"/>
          <w:b w:val="0"/>
          <w:bCs/>
          <w:color w:val="000000"/>
          <w:szCs w:val="21"/>
          <w:lang w:val="en-US" w:eastAsia="zh-CN"/>
        </w:rPr>
        <w:t>清洁等。</w:t>
      </w:r>
    </w:p>
    <w:p w14:paraId="29CAB4D6">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lang w:val="en-US" w:eastAsia="zh-CN"/>
        </w:rPr>
        <w:t>10</w:t>
      </w:r>
      <w:r>
        <w:rPr>
          <w:rStyle w:val="36"/>
          <w:rFonts w:hint="eastAsia" w:ascii="宋体" w:hAnsi="宋体"/>
          <w:b w:val="0"/>
          <w:bCs/>
          <w:color w:val="000000"/>
          <w:szCs w:val="21"/>
        </w:rPr>
        <w:t>.协助医务人员完成各种检查</w:t>
      </w: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检验、康复治疗及</w:t>
      </w:r>
      <w:r>
        <w:rPr>
          <w:rStyle w:val="36"/>
          <w:rFonts w:hint="eastAsia" w:ascii="宋体" w:hAnsi="宋体"/>
          <w:b w:val="0"/>
          <w:bCs/>
          <w:color w:val="000000"/>
          <w:szCs w:val="21"/>
        </w:rPr>
        <w:t>手术的准备工作。</w:t>
      </w:r>
    </w:p>
    <w:p w14:paraId="6B19AB2B">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1</w:t>
      </w:r>
      <w:r>
        <w:rPr>
          <w:rStyle w:val="36"/>
          <w:rFonts w:hint="eastAsia" w:ascii="宋体" w:hAnsi="宋体"/>
          <w:b w:val="0"/>
          <w:bCs/>
          <w:color w:val="000000"/>
          <w:szCs w:val="21"/>
          <w:lang w:val="en-US" w:eastAsia="zh-CN"/>
        </w:rPr>
        <w:t>1</w:t>
      </w:r>
      <w:r>
        <w:rPr>
          <w:rStyle w:val="36"/>
          <w:rFonts w:hint="eastAsia" w:ascii="宋体" w:hAnsi="宋体"/>
          <w:b w:val="0"/>
          <w:bCs/>
          <w:color w:val="000000"/>
          <w:szCs w:val="21"/>
        </w:rPr>
        <w:t>.协助送检患者整理物品，协助医务人员进行安全转运患者。</w:t>
      </w:r>
    </w:p>
    <w:p w14:paraId="67075013">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1</w:t>
      </w:r>
      <w:r>
        <w:rPr>
          <w:rStyle w:val="36"/>
          <w:rFonts w:hint="eastAsia" w:ascii="宋体" w:hAnsi="宋体"/>
          <w:b w:val="0"/>
          <w:bCs/>
          <w:color w:val="000000"/>
          <w:szCs w:val="21"/>
          <w:lang w:val="en-US" w:eastAsia="zh-CN"/>
        </w:rPr>
        <w:t>2</w:t>
      </w:r>
      <w:r>
        <w:rPr>
          <w:rStyle w:val="36"/>
          <w:rFonts w:hint="eastAsia" w:ascii="宋体" w:hAnsi="宋体"/>
          <w:b w:val="0"/>
          <w:bCs/>
          <w:color w:val="000000"/>
          <w:szCs w:val="21"/>
        </w:rPr>
        <w:t>.熟悉患者基本生命体征、识别常见症状，发现异常及时向医务人员报告。</w:t>
      </w:r>
    </w:p>
    <w:p w14:paraId="400AB28A">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1</w:t>
      </w:r>
      <w:r>
        <w:rPr>
          <w:rStyle w:val="36"/>
          <w:rFonts w:hint="eastAsia" w:ascii="宋体" w:hAnsi="宋体"/>
          <w:b w:val="0"/>
          <w:bCs/>
          <w:color w:val="000000"/>
          <w:szCs w:val="21"/>
          <w:lang w:val="en-US" w:eastAsia="zh-CN"/>
        </w:rPr>
        <w:t>3</w:t>
      </w:r>
      <w:r>
        <w:rPr>
          <w:rStyle w:val="36"/>
          <w:rFonts w:hint="eastAsia" w:ascii="宋体" w:hAnsi="宋体"/>
          <w:b w:val="0"/>
          <w:bCs/>
          <w:color w:val="000000"/>
          <w:szCs w:val="21"/>
        </w:rPr>
        <w:t>.经常与患者沟通交流，</w:t>
      </w:r>
      <w:r>
        <w:rPr>
          <w:rStyle w:val="36"/>
          <w:rFonts w:hint="eastAsia" w:ascii="宋体" w:hAnsi="宋体"/>
          <w:b w:val="0"/>
          <w:bCs/>
          <w:color w:val="000000"/>
          <w:szCs w:val="21"/>
          <w:lang w:val="en-US" w:eastAsia="zh-CN"/>
        </w:rPr>
        <w:t>做好心理沟通，</w:t>
      </w:r>
      <w:r>
        <w:rPr>
          <w:rStyle w:val="36"/>
          <w:rFonts w:hint="eastAsia" w:ascii="宋体" w:hAnsi="宋体"/>
          <w:b w:val="0"/>
          <w:bCs/>
          <w:color w:val="000000"/>
          <w:szCs w:val="21"/>
        </w:rPr>
        <w:t>了解其生活习惯。</w:t>
      </w:r>
    </w:p>
    <w:p w14:paraId="67CAF655">
      <w:pPr>
        <w:spacing w:line="420" w:lineRule="exact"/>
        <w:ind w:firstLine="420" w:firstLineChars="200"/>
        <w:jc w:val="left"/>
        <w:rPr>
          <w:rStyle w:val="36"/>
          <w:rFonts w:hint="eastAsia" w:ascii="宋体" w:hAnsi="宋体"/>
          <w:b w:val="0"/>
          <w:bCs/>
          <w:color w:val="000000"/>
          <w:szCs w:val="21"/>
          <w:lang w:val="en-US" w:eastAsia="zh-CN"/>
        </w:rPr>
      </w:pPr>
      <w:r>
        <w:rPr>
          <w:rStyle w:val="36"/>
          <w:rFonts w:hint="eastAsia" w:ascii="宋体" w:hAnsi="宋体"/>
          <w:b w:val="0"/>
          <w:bCs/>
          <w:color w:val="000000"/>
          <w:szCs w:val="21"/>
          <w:lang w:val="en-US" w:eastAsia="zh-CN"/>
        </w:rPr>
        <w:t>14.视天气情况陪护可外出陪同陪同患者进行院内户外活动。</w:t>
      </w:r>
    </w:p>
    <w:p w14:paraId="696631AB">
      <w:pPr>
        <w:spacing w:line="420" w:lineRule="exact"/>
        <w:ind w:firstLine="420" w:firstLineChars="200"/>
        <w:jc w:val="left"/>
        <w:rPr>
          <w:rStyle w:val="36"/>
          <w:rFonts w:hint="eastAsia" w:ascii="宋体" w:hAnsi="宋体"/>
          <w:b w:val="0"/>
          <w:bCs/>
          <w:color w:val="000000"/>
          <w:szCs w:val="21"/>
          <w:lang w:val="en-US" w:eastAsia="zh-CN"/>
        </w:rPr>
      </w:pPr>
      <w:r>
        <w:rPr>
          <w:rStyle w:val="36"/>
          <w:rFonts w:hint="eastAsia" w:ascii="宋体" w:hAnsi="宋体"/>
          <w:b w:val="0"/>
          <w:bCs/>
          <w:color w:val="000000"/>
          <w:szCs w:val="21"/>
          <w:lang w:val="en-US" w:eastAsia="zh-CN"/>
        </w:rPr>
        <w:t>15.根据科室需求，在医护人员的指导下为患者提供专科照护。</w:t>
      </w:r>
    </w:p>
    <w:p w14:paraId="3C76061C">
      <w:pPr>
        <w:spacing w:line="420" w:lineRule="exact"/>
        <w:ind w:firstLine="420" w:firstLineChars="200"/>
        <w:jc w:val="left"/>
        <w:rPr>
          <w:rStyle w:val="36"/>
          <w:rFonts w:hint="default" w:ascii="宋体" w:hAnsi="宋体"/>
          <w:b w:val="0"/>
          <w:bCs/>
          <w:color w:val="000000"/>
          <w:szCs w:val="21"/>
          <w:lang w:val="en-US" w:eastAsia="zh-CN"/>
        </w:rPr>
      </w:pPr>
      <w:r>
        <w:rPr>
          <w:rStyle w:val="36"/>
          <w:rFonts w:hint="eastAsia" w:ascii="宋体" w:hAnsi="宋体"/>
          <w:b w:val="0"/>
          <w:bCs/>
          <w:color w:val="000000"/>
          <w:szCs w:val="21"/>
          <w:lang w:val="en-US" w:eastAsia="zh-CN"/>
        </w:rPr>
        <w:t>16.帮助患者叩背排痰及有效咳嗽指导等。</w:t>
      </w:r>
    </w:p>
    <w:p w14:paraId="257D4BEA">
      <w:pPr>
        <w:spacing w:line="420" w:lineRule="exact"/>
        <w:ind w:firstLine="420" w:firstLineChars="200"/>
        <w:jc w:val="left"/>
        <w:rPr>
          <w:rStyle w:val="36"/>
          <w:rFonts w:hint="eastAsia" w:ascii="宋体" w:hAnsi="宋体"/>
          <w:b w:val="0"/>
          <w:bCs/>
          <w:color w:val="000000"/>
          <w:szCs w:val="21"/>
          <w:lang w:val="en-US" w:eastAsia="zh-CN"/>
        </w:rPr>
      </w:pPr>
      <w:r>
        <w:rPr>
          <w:rStyle w:val="36"/>
          <w:rFonts w:hint="eastAsia" w:ascii="宋体" w:hAnsi="宋体"/>
          <w:b w:val="0"/>
          <w:bCs/>
          <w:color w:val="000000"/>
          <w:szCs w:val="21"/>
          <w:lang w:val="en-US" w:eastAsia="zh-CN"/>
        </w:rPr>
        <w:t>17.协助吞咽困难患者进行口腔清洁等。</w:t>
      </w:r>
    </w:p>
    <w:p w14:paraId="4514AEE7">
      <w:pPr>
        <w:spacing w:line="420" w:lineRule="exact"/>
        <w:ind w:firstLine="420" w:firstLineChars="200"/>
        <w:jc w:val="left"/>
        <w:rPr>
          <w:rStyle w:val="36"/>
          <w:rFonts w:hint="default" w:ascii="宋体" w:hAnsi="宋体"/>
          <w:b w:val="0"/>
          <w:bCs/>
          <w:color w:val="000000"/>
          <w:szCs w:val="21"/>
          <w:lang w:val="en-US" w:eastAsia="zh-CN"/>
        </w:rPr>
      </w:pPr>
      <w:r>
        <w:rPr>
          <w:rStyle w:val="36"/>
          <w:rFonts w:hint="eastAsia" w:ascii="宋体" w:hAnsi="宋体"/>
          <w:b w:val="0"/>
          <w:bCs/>
          <w:color w:val="000000"/>
          <w:szCs w:val="21"/>
          <w:lang w:val="en-US" w:eastAsia="zh-CN"/>
        </w:rPr>
        <w:t>18.帮助患者识别及预防跌倒/坠床等风险并进行应急保护。</w:t>
      </w:r>
    </w:p>
    <w:p w14:paraId="3750E821">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1</w:t>
      </w:r>
      <w:r>
        <w:rPr>
          <w:rStyle w:val="36"/>
          <w:rFonts w:hint="eastAsia" w:ascii="宋体" w:hAnsi="宋体"/>
          <w:b w:val="0"/>
          <w:bCs/>
          <w:color w:val="000000"/>
          <w:szCs w:val="21"/>
          <w:lang w:val="en-US" w:eastAsia="zh-CN"/>
        </w:rPr>
        <w:t>9</w:t>
      </w:r>
      <w:r>
        <w:rPr>
          <w:rStyle w:val="36"/>
          <w:rFonts w:hint="eastAsia" w:ascii="宋体" w:hAnsi="宋体"/>
          <w:b w:val="0"/>
          <w:bCs/>
          <w:color w:val="000000"/>
          <w:szCs w:val="21"/>
        </w:rPr>
        <w:t>.遇有意外及突发事件，及时向医务人员汇报，不可隐瞒。</w:t>
      </w:r>
    </w:p>
    <w:p w14:paraId="6A1AA076">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lang w:val="en-US" w:eastAsia="zh-CN"/>
        </w:rPr>
        <w:t>20</w:t>
      </w:r>
      <w:r>
        <w:rPr>
          <w:rStyle w:val="36"/>
          <w:rFonts w:hint="eastAsia" w:ascii="宋体" w:hAnsi="宋体"/>
          <w:b w:val="0"/>
          <w:bCs/>
          <w:color w:val="000000"/>
          <w:szCs w:val="21"/>
        </w:rPr>
        <w:t>.负责出院患者床单的更换</w:t>
      </w:r>
      <w:r>
        <w:rPr>
          <w:rStyle w:val="36"/>
          <w:rFonts w:hint="eastAsia" w:ascii="宋体" w:hAnsi="宋体"/>
          <w:b w:val="0"/>
          <w:bCs/>
          <w:color w:val="000000"/>
          <w:szCs w:val="21"/>
          <w:lang w:val="en-US" w:eastAsia="zh-CN"/>
        </w:rPr>
        <w:t>等工作</w:t>
      </w:r>
      <w:r>
        <w:rPr>
          <w:rStyle w:val="36"/>
          <w:rFonts w:hint="eastAsia" w:ascii="宋体" w:hAnsi="宋体"/>
          <w:b w:val="0"/>
          <w:bCs/>
          <w:color w:val="000000"/>
          <w:szCs w:val="21"/>
        </w:rPr>
        <w:t>。</w:t>
      </w:r>
    </w:p>
    <w:p w14:paraId="1296748D">
      <w:pPr>
        <w:spacing w:line="420" w:lineRule="exact"/>
        <w:ind w:firstLine="422" w:firstLineChars="200"/>
        <w:jc w:val="both"/>
        <w:rPr>
          <w:rStyle w:val="36"/>
          <w:rFonts w:hint="eastAsia" w:ascii="宋体" w:hAnsi="宋体"/>
          <w:b/>
          <w:bCs w:val="0"/>
          <w:color w:val="000000"/>
          <w:szCs w:val="21"/>
        </w:rPr>
      </w:pPr>
      <w:r>
        <w:rPr>
          <w:rStyle w:val="36"/>
          <w:rFonts w:hint="eastAsia" w:ascii="宋体" w:hAnsi="宋体"/>
          <w:b/>
          <w:bCs w:val="0"/>
          <w:color w:val="000000"/>
          <w:szCs w:val="21"/>
        </w:rPr>
        <w:t>（</w:t>
      </w:r>
      <w:r>
        <w:rPr>
          <w:rStyle w:val="36"/>
          <w:rFonts w:hint="eastAsia" w:ascii="宋体" w:hAnsi="宋体"/>
          <w:b/>
          <w:bCs w:val="0"/>
          <w:color w:val="000000"/>
          <w:szCs w:val="21"/>
          <w:lang w:val="en-US" w:eastAsia="zh-CN"/>
        </w:rPr>
        <w:t>三</w:t>
      </w:r>
      <w:r>
        <w:rPr>
          <w:rStyle w:val="36"/>
          <w:rFonts w:hint="eastAsia" w:ascii="宋体" w:hAnsi="宋体"/>
          <w:b/>
          <w:bCs w:val="0"/>
          <w:color w:val="000000"/>
          <w:szCs w:val="21"/>
        </w:rPr>
        <w:t>）服务方式要求</w:t>
      </w:r>
    </w:p>
    <w:p w14:paraId="5A3BC1F7">
      <w:pPr>
        <w:spacing w:line="420" w:lineRule="exact"/>
        <w:ind w:firstLine="420" w:firstLineChars="200"/>
        <w:jc w:val="both"/>
        <w:rPr>
          <w:rStyle w:val="36"/>
          <w:rFonts w:hint="eastAsia" w:ascii="宋体" w:hAnsi="宋体"/>
          <w:b w:val="0"/>
          <w:bCs/>
          <w:color w:val="000000"/>
          <w:sz w:val="21"/>
          <w:szCs w:val="21"/>
        </w:rPr>
      </w:pP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 w:val="21"/>
          <w:szCs w:val="21"/>
        </w:rPr>
        <w:t>公司医疗护理员以团队模式进驻科室服务，提供为基础生活照护</w:t>
      </w:r>
      <w:r>
        <w:rPr>
          <w:rStyle w:val="36"/>
          <w:rFonts w:hint="eastAsia" w:ascii="宋体" w:hAnsi="宋体"/>
          <w:b w:val="0"/>
          <w:bCs/>
          <w:color w:val="000000"/>
          <w:sz w:val="21"/>
          <w:szCs w:val="21"/>
          <w:lang w:eastAsia="zh-CN"/>
        </w:rPr>
        <w:t>、</w:t>
      </w:r>
      <w:r>
        <w:rPr>
          <w:rStyle w:val="36"/>
          <w:rFonts w:hint="eastAsia" w:ascii="宋体" w:hAnsi="宋体"/>
          <w:b w:val="0"/>
          <w:bCs/>
          <w:color w:val="000000"/>
          <w:sz w:val="21"/>
          <w:szCs w:val="21"/>
        </w:rPr>
        <w:t>二级生活照护</w:t>
      </w:r>
      <w:r>
        <w:rPr>
          <w:rStyle w:val="36"/>
          <w:rFonts w:hint="eastAsia" w:ascii="宋体" w:hAnsi="宋体"/>
          <w:b w:val="0"/>
          <w:bCs/>
          <w:color w:val="000000"/>
          <w:sz w:val="21"/>
          <w:szCs w:val="21"/>
          <w:lang w:eastAsia="zh-CN"/>
        </w:rPr>
        <w:t>、</w:t>
      </w:r>
      <w:r>
        <w:rPr>
          <w:rStyle w:val="36"/>
          <w:rFonts w:hint="eastAsia" w:ascii="宋体" w:hAnsi="宋体"/>
          <w:b w:val="0"/>
          <w:bCs/>
          <w:color w:val="000000"/>
          <w:sz w:val="21"/>
          <w:szCs w:val="21"/>
        </w:rPr>
        <w:t>一级生活照护</w:t>
      </w:r>
      <w:r>
        <w:rPr>
          <w:rStyle w:val="36"/>
          <w:rFonts w:hint="eastAsia" w:ascii="宋体" w:hAnsi="宋体"/>
          <w:b w:val="0"/>
          <w:bCs/>
          <w:color w:val="000000"/>
          <w:sz w:val="21"/>
          <w:szCs w:val="21"/>
          <w:lang w:eastAsia="zh-CN"/>
        </w:rPr>
        <w:t>、</w:t>
      </w:r>
      <w:r>
        <w:rPr>
          <w:rStyle w:val="36"/>
          <w:rFonts w:hint="eastAsia" w:ascii="宋体" w:hAnsi="宋体"/>
          <w:b w:val="0"/>
          <w:bCs/>
          <w:color w:val="000000"/>
          <w:sz w:val="21"/>
          <w:szCs w:val="21"/>
        </w:rPr>
        <w:t>班组制生活照护</w:t>
      </w:r>
      <w:r>
        <w:rPr>
          <w:rStyle w:val="36"/>
          <w:rFonts w:hint="eastAsia" w:ascii="宋体" w:hAnsi="宋体"/>
          <w:b w:val="0"/>
          <w:bCs/>
          <w:color w:val="000000"/>
          <w:sz w:val="21"/>
          <w:szCs w:val="21"/>
          <w:lang w:eastAsia="zh-CN"/>
        </w:rPr>
        <w:t>、</w:t>
      </w:r>
      <w:r>
        <w:rPr>
          <w:rStyle w:val="36"/>
          <w:rFonts w:hint="eastAsia" w:ascii="宋体" w:hAnsi="宋体"/>
          <w:b w:val="0"/>
          <w:bCs/>
          <w:color w:val="000000"/>
          <w:sz w:val="21"/>
          <w:szCs w:val="21"/>
        </w:rPr>
        <w:t>专人</w:t>
      </w:r>
      <w:r>
        <w:rPr>
          <w:rStyle w:val="36"/>
          <w:rFonts w:hint="eastAsia" w:ascii="宋体" w:hAnsi="宋体"/>
          <w:b w:val="0"/>
          <w:bCs/>
          <w:color w:val="000000"/>
          <w:sz w:val="21"/>
          <w:szCs w:val="21"/>
          <w:lang w:eastAsia="zh-Hans"/>
        </w:rPr>
        <w:t>生活照护</w:t>
      </w:r>
      <w:r>
        <w:rPr>
          <w:rStyle w:val="36"/>
          <w:rFonts w:hint="eastAsia" w:ascii="宋体" w:hAnsi="宋体"/>
          <w:b w:val="0"/>
          <w:bCs/>
          <w:color w:val="000000"/>
          <w:sz w:val="21"/>
          <w:szCs w:val="21"/>
          <w:lang w:val="en-US" w:eastAsia="zh-CN"/>
        </w:rPr>
        <w:t>等</w:t>
      </w:r>
      <w:r>
        <w:rPr>
          <w:rStyle w:val="36"/>
          <w:rFonts w:hint="eastAsia" w:ascii="宋体" w:hAnsi="宋体"/>
          <w:b w:val="0"/>
          <w:bCs/>
          <w:color w:val="000000"/>
          <w:sz w:val="21"/>
          <w:szCs w:val="21"/>
        </w:rPr>
        <w:t>服务，公司自主经营，自负盈亏。</w:t>
      </w:r>
    </w:p>
    <w:p w14:paraId="0399E3BB">
      <w:pPr>
        <w:spacing w:line="420" w:lineRule="exact"/>
        <w:ind w:firstLine="422" w:firstLineChars="200"/>
        <w:jc w:val="both"/>
        <w:rPr>
          <w:rStyle w:val="36"/>
          <w:rFonts w:hint="eastAsia" w:ascii="宋体" w:hAnsi="宋体"/>
          <w:b/>
          <w:bCs w:val="0"/>
          <w:color w:val="000000"/>
          <w:szCs w:val="21"/>
        </w:rPr>
      </w:pPr>
      <w:r>
        <w:rPr>
          <w:rStyle w:val="36"/>
          <w:rFonts w:hint="eastAsia" w:ascii="宋体" w:hAnsi="宋体"/>
          <w:b/>
          <w:bCs w:val="0"/>
          <w:color w:val="000000"/>
          <w:szCs w:val="21"/>
        </w:rPr>
        <w:t>（</w:t>
      </w:r>
      <w:r>
        <w:rPr>
          <w:rStyle w:val="36"/>
          <w:rFonts w:hint="eastAsia" w:ascii="宋体" w:hAnsi="宋体"/>
          <w:b/>
          <w:bCs w:val="0"/>
          <w:color w:val="000000"/>
          <w:szCs w:val="21"/>
          <w:lang w:val="en-US" w:eastAsia="zh-CN"/>
        </w:rPr>
        <w:t>四</w:t>
      </w:r>
      <w:r>
        <w:rPr>
          <w:rStyle w:val="36"/>
          <w:rFonts w:hint="eastAsia" w:ascii="宋体" w:hAnsi="宋体"/>
          <w:b/>
          <w:bCs w:val="0"/>
          <w:color w:val="000000"/>
          <w:szCs w:val="21"/>
        </w:rPr>
        <w:t>）管理配置要求</w:t>
      </w:r>
    </w:p>
    <w:p w14:paraId="0B3FE433">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1.管理要求：</w:t>
      </w:r>
    </w:p>
    <w:p w14:paraId="0A6D5533">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（1）</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公司负责支付医疗护理员的工资、福利待遇及国家要求的社会保险等；保证所有陪护体检 1 次/年，体检费用由第三方公司自行承担。</w:t>
      </w:r>
    </w:p>
    <w:p w14:paraId="01476FD3">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（2）</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公司至少</w:t>
      </w:r>
      <w:r>
        <w:rPr>
          <w:rStyle w:val="36"/>
          <w:rFonts w:hint="eastAsia" w:ascii="宋体" w:hAnsi="宋体"/>
          <w:b w:val="0"/>
          <w:bCs/>
          <w:color w:val="000000"/>
          <w:szCs w:val="21"/>
          <w:lang w:val="en-US" w:eastAsia="zh-CN"/>
        </w:rPr>
        <w:t>35</w:t>
      </w:r>
      <w:r>
        <w:rPr>
          <w:rStyle w:val="36"/>
          <w:rFonts w:hint="eastAsia" w:ascii="宋体" w:hAnsi="宋体"/>
          <w:b w:val="0"/>
          <w:bCs/>
          <w:color w:val="000000"/>
          <w:szCs w:val="21"/>
        </w:rPr>
        <w:t>名医疗护理员在岗在册，并按每月平均（3%－10%）提升人员在册率，力争服务一年内达到所管辖病区开放床位50%总目标。</w:t>
      </w:r>
    </w:p>
    <w:p w14:paraId="3B8DB83B">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2.培训要求:</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公司负责医疗护理员的培训工作。</w:t>
      </w:r>
    </w:p>
    <w:p w14:paraId="5E3B4923">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1）对新入职的医疗护理员，应确保对其进行岗前技能等相关知识的培训，必须经过正规培训，获得医疗护理员相应职业技能证书（国家职业资格证书、职业技能等级证书或专项职业能力证书）或培训合格证书。培训时长符合国家及地方相关规定，需提供培训记录证明，方可派驻医院。</w:t>
      </w:r>
    </w:p>
    <w:p w14:paraId="603699C8">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（2）制定日常培训考核计划，</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公司每季度完成对医疗护理员的基础护理、安全保护、突发事件处理、安全生产、法制教育及消防知识等相关培训；同时也要参加医院组织的相关护理、院感知识培训，培训率达100%，培训资料建档备查。</w:t>
      </w:r>
    </w:p>
    <w:p w14:paraId="4390E472">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3.信息化要求：</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公司入驻医院后须迅速构建并实现医院陪护管理工作网络化和使用智能化陪护。</w:t>
      </w:r>
    </w:p>
    <w:p w14:paraId="5A1426CE">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（1）用互联网技术对接医疗护理员工作，在系统中融合管理方、用户、陪护、与第三方合作机构各自需求，简化操作手续，病人及家属可在平台上自主选择医疗护理员下单，提高工作效率，提升满意度。</w:t>
      </w:r>
    </w:p>
    <w:p w14:paraId="1F398420">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（2）</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公司陪护服务管理工作，包括人事、检查、培训、财务结算等通过陪护智能信息管理系统完成，院方可以调阅数据。做好医疗护理员信息登记、服务预约、线上结算及满意度评价一体化管理。</w:t>
      </w:r>
    </w:p>
    <w:p w14:paraId="57A9A8BE">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（3）医疗护理员按照要求进行个人信息登记，并提交居民身份证或者其他有效身份证件复印件，建立人员档案。</w:t>
      </w:r>
    </w:p>
    <w:p w14:paraId="1584D97E">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（4）</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公司设置服务中心，保障 24小时在线服务，接待处理客户服务需求的连续服务。有完善的事故、纠纷处理及风险控制管理体系。严格执行突发、意外事件的处理程序，接到投诉后第一时间受理，12小时内处置，24小时内反馈处置结果，并建立工作台账， 实行清单化销号管理，及时排查并解决服务纠纷。</w:t>
      </w:r>
    </w:p>
    <w:p w14:paraId="25672932">
      <w:pPr>
        <w:spacing w:line="420" w:lineRule="exact"/>
        <w:ind w:firstLine="420" w:firstLineChars="200"/>
        <w:jc w:val="both"/>
        <w:rPr>
          <w:rStyle w:val="36"/>
          <w:rFonts w:hint="eastAsia" w:ascii="宋体" w:hAnsi="宋体" w:eastAsia="宋体"/>
          <w:b w:val="0"/>
          <w:bCs/>
          <w:color w:val="000000"/>
          <w:szCs w:val="21"/>
          <w:lang w:eastAsia="zh-CN"/>
        </w:rPr>
      </w:pPr>
      <w:r>
        <w:rPr>
          <w:rStyle w:val="36"/>
          <w:rFonts w:hint="eastAsia" w:ascii="宋体" w:hAnsi="宋体"/>
          <w:b w:val="0"/>
          <w:bCs/>
          <w:color w:val="000000"/>
          <w:szCs w:val="21"/>
        </w:rPr>
        <w:t>4.陪护服务收费管理要求：以患者自愿为原则，根据国家相关政策制定各项服务价格</w:t>
      </w:r>
      <w:r>
        <w:rPr>
          <w:rStyle w:val="36"/>
          <w:rFonts w:hint="eastAsia" w:ascii="宋体" w:hAnsi="宋体"/>
          <w:b w:val="0"/>
          <w:bCs/>
          <w:color w:val="000000"/>
          <w:szCs w:val="21"/>
          <w:lang w:eastAsia="zh-CN"/>
        </w:rPr>
        <w:t>。</w:t>
      </w:r>
    </w:p>
    <w:p w14:paraId="471FA338">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(1)</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公司在医院内提供醒目收费标准，并在向患者或家属提供陪护服务前，以书面形式主动告知患者或家属收费标准及不再向患者或家属收取额外费用。并为患者开具正规发票。</w:t>
      </w:r>
    </w:p>
    <w:p w14:paraId="3D92112C">
      <w:pPr>
        <w:spacing w:line="420" w:lineRule="exact"/>
        <w:ind w:firstLine="422" w:firstLineChars="200"/>
        <w:jc w:val="both"/>
        <w:rPr>
          <w:rStyle w:val="36"/>
          <w:rFonts w:hint="eastAsia" w:ascii="宋体" w:hAnsi="宋体"/>
          <w:b w:val="0"/>
          <w:bCs/>
          <w:color w:val="000000"/>
          <w:szCs w:val="21"/>
        </w:rPr>
      </w:pPr>
      <w:r>
        <w:rPr>
          <w:rStyle w:val="36"/>
          <w:rFonts w:hint="eastAsia" w:ascii="宋体" w:hAnsi="宋体" w:eastAsia="宋体" w:cs="宋体"/>
          <w:b/>
          <w:bCs w:val="0"/>
          <w:color w:val="000000"/>
          <w:sz w:val="21"/>
          <w:szCs w:val="21"/>
        </w:rPr>
        <w:t>（</w:t>
      </w:r>
      <w:r>
        <w:rPr>
          <w:rStyle w:val="36"/>
          <w:rFonts w:hint="eastAsia" w:ascii="宋体" w:hAnsi="宋体" w:cs="宋体"/>
          <w:b/>
          <w:bCs w:val="0"/>
          <w:color w:val="000000"/>
          <w:sz w:val="21"/>
          <w:szCs w:val="21"/>
          <w:lang w:val="en-US" w:eastAsia="zh-CN"/>
        </w:rPr>
        <w:t>五</w:t>
      </w:r>
      <w:r>
        <w:rPr>
          <w:rStyle w:val="36"/>
          <w:rFonts w:hint="eastAsia" w:ascii="宋体" w:hAnsi="宋体" w:eastAsia="宋体" w:cs="宋体"/>
          <w:b/>
          <w:bCs w:val="0"/>
          <w:color w:val="000000"/>
          <w:sz w:val="21"/>
          <w:szCs w:val="21"/>
        </w:rPr>
        <w:t>）陪护服务质量管理与考核</w:t>
      </w:r>
    </w:p>
    <w:p w14:paraId="42E3FD94">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1</w:t>
      </w:r>
      <w:r>
        <w:rPr>
          <w:rStyle w:val="36"/>
          <w:rFonts w:hint="eastAsia" w:ascii="宋体" w:hAnsi="宋体"/>
          <w:b w:val="0"/>
          <w:bCs/>
          <w:color w:val="000000"/>
          <w:szCs w:val="21"/>
          <w:lang w:val="en-US" w:eastAsia="zh-CN"/>
        </w:rPr>
        <w:t>.</w:t>
      </w:r>
      <w:r>
        <w:rPr>
          <w:rStyle w:val="36"/>
          <w:rFonts w:hint="eastAsia" w:ascii="宋体" w:hAnsi="宋体"/>
          <w:b w:val="0"/>
          <w:bCs/>
          <w:color w:val="000000"/>
          <w:szCs w:val="21"/>
        </w:rPr>
        <w:t>考核原则：医院对存在的问题进行记录并作为当年的考核依据，合同期内若医院需更新考核标准，以采购人更新后的标准为准。</w:t>
      </w:r>
    </w:p>
    <w:p w14:paraId="37821C74">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2</w:t>
      </w:r>
      <w:r>
        <w:rPr>
          <w:rStyle w:val="36"/>
          <w:rFonts w:hint="eastAsia" w:ascii="宋体" w:hAnsi="宋体"/>
          <w:b w:val="0"/>
          <w:bCs/>
          <w:color w:val="000000"/>
          <w:szCs w:val="21"/>
          <w:lang w:val="en-US" w:eastAsia="zh-CN"/>
        </w:rPr>
        <w:t>.</w:t>
      </w:r>
      <w:r>
        <w:rPr>
          <w:rStyle w:val="36"/>
          <w:rFonts w:hint="eastAsia" w:ascii="宋体" w:hAnsi="宋体"/>
          <w:b w:val="0"/>
          <w:bCs/>
          <w:color w:val="000000"/>
          <w:szCs w:val="21"/>
        </w:rPr>
        <w:t>考核标准：包括医疗护理员工作质量评价、满意度评价。</w:t>
      </w:r>
    </w:p>
    <w:p w14:paraId="328BEB47">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1</w:t>
      </w:r>
      <w:r>
        <w:rPr>
          <w:rStyle w:val="36"/>
          <w:rFonts w:hint="eastAsia" w:ascii="宋体" w:hAnsi="宋体"/>
          <w:b w:val="0"/>
          <w:bCs/>
          <w:color w:val="000000"/>
          <w:szCs w:val="21"/>
          <w:lang w:eastAsia="zh-CN"/>
        </w:rPr>
        <w:t>）</w:t>
      </w:r>
      <w:r>
        <w:rPr>
          <w:rStyle w:val="36"/>
          <w:rFonts w:hint="eastAsia" w:ascii="宋体" w:hAnsi="宋体"/>
          <w:b w:val="0"/>
          <w:bCs/>
          <w:color w:val="000000"/>
          <w:szCs w:val="21"/>
        </w:rPr>
        <w:t>陪护办公室专职人员根据该标准定期（每月）考核医疗护理员服务质量， 考核结果分为：优（</w:t>
      </w:r>
      <w:r>
        <w:rPr>
          <w:rStyle w:val="36"/>
          <w:rFonts w:hint="eastAsia" w:ascii="宋体" w:hAnsi="宋体"/>
          <w:b w:val="0"/>
          <w:bCs/>
          <w:color w:val="000000"/>
          <w:szCs w:val="21"/>
          <w:lang w:eastAsia="zh-CN"/>
        </w:rPr>
        <w:t>达标率</w:t>
      </w:r>
      <w:r>
        <w:rPr>
          <w:rStyle w:val="36"/>
          <w:rFonts w:hint="eastAsia" w:ascii="宋体" w:hAnsi="宋体"/>
          <w:b w:val="0"/>
          <w:bCs/>
          <w:color w:val="000000"/>
          <w:szCs w:val="21"/>
        </w:rPr>
        <w:t>≥90%）、良（</w:t>
      </w:r>
      <w:r>
        <w:rPr>
          <w:rStyle w:val="36"/>
          <w:rFonts w:hint="eastAsia" w:ascii="宋体" w:hAnsi="宋体"/>
          <w:b w:val="0"/>
          <w:bCs/>
          <w:color w:val="000000"/>
          <w:szCs w:val="21"/>
          <w:lang w:eastAsia="zh-CN"/>
        </w:rPr>
        <w:t>达标率</w:t>
      </w:r>
      <w:r>
        <w:rPr>
          <w:rStyle w:val="36"/>
          <w:rFonts w:hint="eastAsia" w:ascii="宋体" w:hAnsi="宋体"/>
          <w:b w:val="0"/>
          <w:bCs/>
          <w:color w:val="000000"/>
          <w:szCs w:val="21"/>
        </w:rPr>
        <w:t xml:space="preserve"> 85%-89%）、合格（</w:t>
      </w:r>
      <w:r>
        <w:rPr>
          <w:rStyle w:val="36"/>
          <w:rFonts w:hint="eastAsia" w:ascii="宋体" w:hAnsi="宋体"/>
          <w:b w:val="0"/>
          <w:bCs/>
          <w:color w:val="000000"/>
          <w:szCs w:val="21"/>
          <w:lang w:eastAsia="zh-CN"/>
        </w:rPr>
        <w:t>达标率</w:t>
      </w:r>
      <w:r>
        <w:rPr>
          <w:rStyle w:val="36"/>
          <w:rFonts w:hint="eastAsia" w:ascii="宋体" w:hAnsi="宋体"/>
          <w:b w:val="0"/>
          <w:bCs/>
          <w:color w:val="000000"/>
          <w:szCs w:val="21"/>
        </w:rPr>
        <w:t>≥80%）。</w:t>
      </w:r>
    </w:p>
    <w:p w14:paraId="12208B1D">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2</w:t>
      </w:r>
      <w:r>
        <w:rPr>
          <w:rStyle w:val="36"/>
          <w:rFonts w:hint="eastAsia" w:ascii="宋体" w:hAnsi="宋体"/>
          <w:b w:val="0"/>
          <w:bCs/>
          <w:color w:val="000000"/>
          <w:szCs w:val="21"/>
          <w:lang w:eastAsia="zh-CN"/>
        </w:rPr>
        <w:t>）</w:t>
      </w:r>
      <w:r>
        <w:rPr>
          <w:rStyle w:val="36"/>
          <w:rFonts w:hint="eastAsia" w:ascii="宋体" w:hAnsi="宋体"/>
          <w:b w:val="0"/>
          <w:bCs/>
          <w:color w:val="000000"/>
          <w:szCs w:val="21"/>
        </w:rPr>
        <w:t>满意度评价每季度开展：患者/家属满意度≥90%（附件</w:t>
      </w:r>
      <w:r>
        <w:rPr>
          <w:rStyle w:val="36"/>
          <w:rFonts w:hint="eastAsia" w:ascii="宋体" w:hAnsi="宋体"/>
          <w:b w:val="0"/>
          <w:bCs/>
          <w:color w:val="000000"/>
          <w:szCs w:val="21"/>
          <w:lang w:val="en-US" w:eastAsia="zh-CN"/>
        </w:rPr>
        <w:t>5</w:t>
      </w:r>
      <w:r>
        <w:rPr>
          <w:rStyle w:val="36"/>
          <w:rFonts w:hint="eastAsia" w:ascii="宋体" w:hAnsi="宋体"/>
          <w:b w:val="0"/>
          <w:bCs/>
          <w:color w:val="000000"/>
          <w:szCs w:val="21"/>
        </w:rPr>
        <w:t>）；医务人员满意度≥90% （附件</w:t>
      </w:r>
      <w:r>
        <w:rPr>
          <w:rStyle w:val="36"/>
          <w:rFonts w:hint="eastAsia" w:ascii="宋体" w:hAnsi="宋体"/>
          <w:b w:val="0"/>
          <w:bCs/>
          <w:color w:val="000000"/>
          <w:szCs w:val="21"/>
          <w:lang w:val="en-US" w:eastAsia="zh-CN"/>
        </w:rPr>
        <w:t>4</w:t>
      </w:r>
      <w:r>
        <w:rPr>
          <w:rStyle w:val="36"/>
          <w:rFonts w:hint="eastAsia" w:ascii="宋体" w:hAnsi="宋体"/>
          <w:b w:val="0"/>
          <w:bCs/>
          <w:color w:val="000000"/>
          <w:szCs w:val="21"/>
        </w:rPr>
        <w:t>）。</w:t>
      </w:r>
    </w:p>
    <w:p w14:paraId="48E3E576">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val="en-US" w:eastAsia="zh-CN"/>
        </w:rPr>
        <w:t>3.</w:t>
      </w:r>
      <w:r>
        <w:rPr>
          <w:rStyle w:val="36"/>
          <w:rFonts w:hint="eastAsia" w:ascii="宋体" w:hAnsi="宋体"/>
          <w:b w:val="0"/>
          <w:bCs/>
          <w:color w:val="000000"/>
          <w:szCs w:val="21"/>
        </w:rPr>
        <w:t>质量反馈及持续改进</w:t>
      </w:r>
    </w:p>
    <w:p w14:paraId="6EBE28FF">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1</w:t>
      </w:r>
      <w:r>
        <w:rPr>
          <w:rStyle w:val="36"/>
          <w:rFonts w:hint="eastAsia" w:ascii="宋体" w:hAnsi="宋体"/>
          <w:b w:val="0"/>
          <w:bCs/>
          <w:color w:val="000000"/>
          <w:szCs w:val="21"/>
          <w:lang w:eastAsia="zh-CN"/>
        </w:rPr>
        <w:t>）</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公司管理人员应每周自查并及时向医疗护理员反馈检查存在的问题，分析原因及提出改进措施并跟进整改落实的情况。</w:t>
      </w:r>
    </w:p>
    <w:p w14:paraId="13E5E9B5">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2</w:t>
      </w:r>
      <w:r>
        <w:rPr>
          <w:rStyle w:val="36"/>
          <w:rFonts w:hint="eastAsia" w:ascii="宋体" w:hAnsi="宋体"/>
          <w:b w:val="0"/>
          <w:bCs/>
          <w:color w:val="000000"/>
          <w:szCs w:val="21"/>
          <w:lang w:eastAsia="zh-CN"/>
        </w:rPr>
        <w:t>）</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每月组织召开一次沟通会，邀请院方专管人员参与，总结每月检查存在的问题、满意度调查结果、需院方相关部门协调解决的问题等，共同讨论整改措施，制定下个月检查及管理的重点，如遇特殊情况，应随时汇报。</w:t>
      </w:r>
    </w:p>
    <w:p w14:paraId="7452F7E7">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val="en-US" w:eastAsia="zh-CN"/>
        </w:rPr>
        <w:t>4.</w:t>
      </w:r>
      <w:r>
        <w:rPr>
          <w:rStyle w:val="36"/>
          <w:rFonts w:hint="eastAsia" w:ascii="宋体" w:hAnsi="宋体"/>
          <w:b w:val="0"/>
          <w:bCs/>
          <w:color w:val="000000"/>
          <w:szCs w:val="21"/>
        </w:rPr>
        <w:t>处罚（处罚金额从履约保证金中扣除）</w:t>
      </w:r>
    </w:p>
    <w:p w14:paraId="673AEF09">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1</w:t>
      </w:r>
      <w:r>
        <w:rPr>
          <w:rStyle w:val="36"/>
          <w:rFonts w:hint="eastAsia" w:ascii="宋体" w:hAnsi="宋体"/>
          <w:b w:val="0"/>
          <w:bCs/>
          <w:color w:val="000000"/>
          <w:szCs w:val="21"/>
          <w:lang w:eastAsia="zh-CN"/>
        </w:rPr>
        <w:t>）</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公司如出现考核不合格，责令在限期内进行整改。如在限期内并未完成整改，仍存在服务质量问题，院方有权终止合同或有权直接按照情节进行处罚5000－10000元。</w:t>
      </w:r>
    </w:p>
    <w:p w14:paraId="56C00A13">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2</w:t>
      </w:r>
      <w:r>
        <w:rPr>
          <w:rStyle w:val="36"/>
          <w:rFonts w:hint="eastAsia" w:ascii="宋体" w:hAnsi="宋体"/>
          <w:b w:val="0"/>
          <w:bCs/>
          <w:color w:val="000000"/>
          <w:szCs w:val="21"/>
          <w:lang w:eastAsia="zh-CN"/>
        </w:rPr>
        <w:t>）</w:t>
      </w:r>
      <w:r>
        <w:rPr>
          <w:rStyle w:val="36"/>
          <w:rFonts w:hint="eastAsia" w:ascii="宋体" w:hAnsi="宋体"/>
          <w:b w:val="0"/>
          <w:bCs/>
          <w:color w:val="000000"/>
          <w:szCs w:val="21"/>
        </w:rPr>
        <w:t>如出现重大质量问题：</w:t>
      </w:r>
    </w:p>
    <w:p w14:paraId="6D2654D5">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val="en-US" w:eastAsia="zh-CN"/>
        </w:rPr>
        <w:t>①</w:t>
      </w:r>
      <w:r>
        <w:rPr>
          <w:rStyle w:val="36"/>
          <w:rFonts w:hint="eastAsia" w:ascii="宋体" w:hAnsi="宋体"/>
          <w:b w:val="0"/>
          <w:bCs/>
          <w:color w:val="000000"/>
          <w:szCs w:val="21"/>
        </w:rPr>
        <w:t>凡因服务态度或其他原因导致有效投诉者，视情节严重处罚</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公司每次200-1000元。</w:t>
      </w:r>
    </w:p>
    <w:p w14:paraId="6A587E23">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val="en-US" w:eastAsia="zh-CN"/>
        </w:rPr>
        <w:t>②</w:t>
      </w:r>
      <w:r>
        <w:rPr>
          <w:rStyle w:val="36"/>
          <w:rFonts w:hint="eastAsia" w:ascii="宋体" w:hAnsi="宋体"/>
          <w:b w:val="0"/>
          <w:bCs/>
          <w:color w:val="000000"/>
          <w:szCs w:val="21"/>
        </w:rPr>
        <w:t>医疗护理员因工作失职,使患者发生意外（跌倒、坠床、烫伤、误吸、走失等）或与患者家属发生纠纷时,均由</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公司负责解决。医院有权按照1000-10000 元的标准进行处罚。</w:t>
      </w:r>
    </w:p>
    <w:p w14:paraId="10F683BA">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val="en-US" w:eastAsia="zh-CN"/>
        </w:rPr>
        <w:t>③</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公司及医疗护理员应对医院和患者的信息进行保密。任何情况下，不得私自将院方或患者信息提供给任何单位与个人。违者由</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公司承担全部经济责任及法律责任，视情节轻重，</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公司应当向医院支付10000元--50000元违约金。</w:t>
      </w:r>
    </w:p>
    <w:p w14:paraId="0F9595C3">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5</w:t>
      </w:r>
      <w:r>
        <w:rPr>
          <w:rStyle w:val="36"/>
          <w:rFonts w:hint="eastAsia" w:ascii="宋体" w:hAnsi="宋体"/>
          <w:b w:val="0"/>
          <w:bCs/>
          <w:color w:val="000000"/>
          <w:szCs w:val="21"/>
          <w:lang w:val="en-US" w:eastAsia="zh-CN"/>
        </w:rPr>
        <w:t>.</w:t>
      </w:r>
      <w:r>
        <w:rPr>
          <w:rStyle w:val="36"/>
          <w:rFonts w:hint="eastAsia" w:ascii="宋体" w:hAnsi="宋体"/>
          <w:b w:val="0"/>
          <w:bCs/>
          <w:color w:val="000000"/>
          <w:szCs w:val="21"/>
        </w:rPr>
        <w:t>服务安全要求</w:t>
      </w:r>
    </w:p>
    <w:p w14:paraId="631D8418">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1</w:t>
      </w:r>
      <w:r>
        <w:rPr>
          <w:rStyle w:val="36"/>
          <w:rFonts w:hint="eastAsia" w:ascii="宋体" w:hAnsi="宋体"/>
          <w:b w:val="0"/>
          <w:bCs/>
          <w:color w:val="000000"/>
          <w:szCs w:val="21"/>
          <w:lang w:eastAsia="zh-CN"/>
        </w:rPr>
        <w:t>）</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公司必须为医疗护理员购买商业意外保险和第三者责任保险。</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公司所聘用的医疗护理员在工作中因各种原因受到伤害或发生疾病意外的，由</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公司负完全责任及经济赔偿。</w:t>
      </w:r>
    </w:p>
    <w:p w14:paraId="2655DBB5">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2</w:t>
      </w:r>
      <w:r>
        <w:rPr>
          <w:rStyle w:val="36"/>
          <w:rFonts w:hint="eastAsia" w:ascii="宋体" w:hAnsi="宋体"/>
          <w:b w:val="0"/>
          <w:bCs/>
          <w:color w:val="000000"/>
          <w:szCs w:val="21"/>
          <w:lang w:eastAsia="zh-CN"/>
        </w:rPr>
        <w:t>）</w:t>
      </w:r>
      <w:r>
        <w:rPr>
          <w:rStyle w:val="36"/>
          <w:rFonts w:hint="eastAsia" w:ascii="宋体" w:hAnsi="宋体"/>
          <w:b w:val="0"/>
          <w:bCs/>
          <w:color w:val="000000"/>
          <w:szCs w:val="21"/>
        </w:rPr>
        <w:t>以下情形由</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负责：陪护过程中因医疗护理员工作失误，患者发生非医疗伤害，如：患者烫伤、坠床、在医疗护理员陪同下患者跌倒、患者走失、喂食过程中造成患者窒息以及其他因医疗护理员违规操作或因工作责任心不强导致患者机体伤害、功能受损等。</w:t>
      </w:r>
    </w:p>
    <w:p w14:paraId="20AF49E2">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3</w:t>
      </w:r>
      <w:r>
        <w:rPr>
          <w:rStyle w:val="36"/>
          <w:rFonts w:hint="eastAsia" w:ascii="宋体" w:hAnsi="宋体"/>
          <w:b w:val="0"/>
          <w:bCs/>
          <w:color w:val="000000"/>
          <w:szCs w:val="21"/>
          <w:lang w:eastAsia="zh-CN"/>
        </w:rPr>
        <w:t>）</w:t>
      </w:r>
      <w:r>
        <w:rPr>
          <w:rStyle w:val="36"/>
          <w:rFonts w:hint="eastAsia" w:ascii="宋体" w:hAnsi="宋体"/>
          <w:b w:val="0"/>
          <w:bCs/>
          <w:color w:val="000000"/>
          <w:szCs w:val="21"/>
        </w:rPr>
        <w:t>以下纠纷由第三方公司负责：医疗护理员与患者/家属发生纠纷；医疗护理员发生劳动纠纷。</w:t>
      </w:r>
    </w:p>
    <w:p w14:paraId="52222B8A">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val="en-US" w:eastAsia="zh-CN"/>
        </w:rPr>
        <w:t>6.</w:t>
      </w:r>
      <w:r>
        <w:rPr>
          <w:rStyle w:val="36"/>
          <w:rFonts w:hint="eastAsia" w:ascii="宋体" w:hAnsi="宋体"/>
          <w:b w:val="0"/>
          <w:bCs/>
          <w:color w:val="000000"/>
          <w:szCs w:val="21"/>
        </w:rPr>
        <w:t>其他服务要求</w:t>
      </w:r>
    </w:p>
    <w:p w14:paraId="0A7D5BBB">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1</w:t>
      </w:r>
      <w:r>
        <w:rPr>
          <w:rStyle w:val="36"/>
          <w:rFonts w:hint="eastAsia" w:ascii="宋体" w:hAnsi="宋体"/>
          <w:b w:val="0"/>
          <w:bCs/>
          <w:color w:val="000000"/>
          <w:szCs w:val="21"/>
          <w:lang w:eastAsia="zh-CN"/>
        </w:rPr>
        <w:t>）</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必须提供陪护管理与运行方案，统一登记、统一培训、统一评价、统一着装、统一标识、统一管理的"六统一"标准。对医疗护理员信息，工作职责，职业守则，服务规范，服务等级等内容公示，公开。医院有权对第三方公司业务进行指导、监督。</w:t>
      </w:r>
    </w:p>
    <w:p w14:paraId="4FFB6DFB">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2</w:t>
      </w:r>
      <w:r>
        <w:rPr>
          <w:rStyle w:val="36"/>
          <w:rFonts w:hint="eastAsia" w:ascii="宋体" w:hAnsi="宋体"/>
          <w:b w:val="0"/>
          <w:bCs/>
          <w:color w:val="000000"/>
          <w:szCs w:val="21"/>
          <w:lang w:eastAsia="zh-CN"/>
        </w:rPr>
        <w:t>）</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具有完善陪护管理考核制度并认真落实。参考广西《医疗护理员星级评定标准》制定星级评定标准，建立与星级评定相关联的激励机制，对医疗护理员工作推荐、服务报酬、绩效奖惩等进行分级管理，对持有陪护专项职业能力证书及等级证书的人员结合星级评定提高薪酬待遇，拓宽护理员职业发展渠道，激励引导护理员提升技能水平。</w:t>
      </w:r>
    </w:p>
    <w:p w14:paraId="70A79D62">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3</w:t>
      </w:r>
      <w:r>
        <w:rPr>
          <w:rStyle w:val="36"/>
          <w:rFonts w:hint="eastAsia" w:ascii="宋体" w:hAnsi="宋体"/>
          <w:b w:val="0"/>
          <w:bCs/>
          <w:color w:val="000000"/>
          <w:szCs w:val="21"/>
          <w:lang w:eastAsia="zh-CN"/>
        </w:rPr>
        <w:t>）</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管理人员按《医疗护理员工作质量检查评分表》进行质量检查，实行工作日每日检查，节假日抽查的形式，对存在的问题落实整改，一般问题当场指导医疗护理员落实整改，系统问题一周内完成整改并向院方及科室护士长反馈。</w:t>
      </w:r>
    </w:p>
    <w:p w14:paraId="10FD7150">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val="en-US" w:eastAsia="zh-CN"/>
        </w:rPr>
        <w:t>①</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公司管理人员每月与护理管理人员共同完成各病区医疗护理员工作质量检查，对工作存在的质量问题、投诉事件进行调查分析，完成整改及善后工作。</w:t>
      </w:r>
    </w:p>
    <w:p w14:paraId="7B78F3F3">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val="en-US" w:eastAsia="zh-CN"/>
        </w:rPr>
        <w:t>②</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公司管理人员每月将检查存在问题对分管区域的医疗护理员进行反馈，并在当月落实相关培训，提高医疗护理员的工作能力。</w:t>
      </w:r>
    </w:p>
    <w:p w14:paraId="47049066">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val="en-US" w:eastAsia="zh-CN"/>
        </w:rPr>
        <w:t>③</w:t>
      </w:r>
      <w:r>
        <w:rPr>
          <w:rStyle w:val="36"/>
          <w:rFonts w:hint="eastAsia" w:ascii="宋体" w:hAnsi="宋体"/>
          <w:b w:val="0"/>
          <w:bCs/>
          <w:color w:val="000000"/>
          <w:szCs w:val="21"/>
        </w:rPr>
        <w:t>医院科室护士长对区域内医疗护理员服务质量进行日常监督，对提供服务不符合要求者，科室有权向</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公司提出更换。</w:t>
      </w:r>
    </w:p>
    <w:p w14:paraId="23ABD8D8">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4</w:t>
      </w:r>
      <w:r>
        <w:rPr>
          <w:rStyle w:val="36"/>
          <w:rFonts w:hint="eastAsia" w:ascii="宋体" w:hAnsi="宋体"/>
          <w:b w:val="0"/>
          <w:bCs/>
          <w:color w:val="000000"/>
          <w:szCs w:val="21"/>
          <w:lang w:eastAsia="zh-CN"/>
        </w:rPr>
        <w:t>）</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公司因管理需要收集医院患者/家属、医疗护理员、医务人员等与陪护服务相关数据时，需签署保密协议，不能对外公开，否则需承担相应法律责任。</w:t>
      </w:r>
    </w:p>
    <w:p w14:paraId="30A17FFC">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5</w:t>
      </w:r>
      <w:r>
        <w:rPr>
          <w:rStyle w:val="36"/>
          <w:rFonts w:hint="eastAsia" w:ascii="宋体" w:hAnsi="宋体"/>
          <w:b w:val="0"/>
          <w:bCs/>
          <w:color w:val="000000"/>
          <w:szCs w:val="21"/>
          <w:lang w:eastAsia="zh-CN"/>
        </w:rPr>
        <w:t>）</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公司每月至少按业务总收入的5%向采购人支付水电费等成本。</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公司不得以任何理由要求医院支付其他费用。</w:t>
      </w:r>
    </w:p>
    <w:p w14:paraId="17B8BFFE">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6</w:t>
      </w:r>
      <w:r>
        <w:rPr>
          <w:rStyle w:val="36"/>
          <w:rFonts w:hint="eastAsia" w:ascii="宋体" w:hAnsi="宋体"/>
          <w:b w:val="0"/>
          <w:bCs/>
          <w:color w:val="000000"/>
          <w:szCs w:val="21"/>
          <w:lang w:eastAsia="zh-CN"/>
        </w:rPr>
        <w:t>）</w:t>
      </w:r>
      <w:r>
        <w:rPr>
          <w:rStyle w:val="36"/>
          <w:rFonts w:hint="eastAsia" w:ascii="宋体" w:hAnsi="宋体"/>
          <w:b w:val="0"/>
          <w:bCs/>
          <w:color w:val="000000"/>
          <w:szCs w:val="21"/>
        </w:rPr>
        <w:t>医院每</w:t>
      </w:r>
      <w:r>
        <w:rPr>
          <w:rStyle w:val="36"/>
          <w:rFonts w:hint="eastAsia" w:ascii="宋体" w:hAnsi="宋体"/>
          <w:b w:val="0"/>
          <w:bCs/>
          <w:color w:val="000000"/>
          <w:szCs w:val="21"/>
          <w:lang w:val="en-US" w:eastAsia="zh-CN"/>
        </w:rPr>
        <w:t>月</w:t>
      </w:r>
      <w:r>
        <w:rPr>
          <w:rStyle w:val="36"/>
          <w:rFonts w:hint="eastAsia" w:ascii="宋体" w:hAnsi="宋体"/>
          <w:b w:val="0"/>
          <w:bCs/>
          <w:color w:val="000000"/>
          <w:szCs w:val="21"/>
        </w:rPr>
        <w:t>或根据工作需要完成患者/家属对医疗护理员服务满意度调查及医务人员对医疗护理员服务满意度调查各1次（按附件2、附件3）。</w:t>
      </w:r>
    </w:p>
    <w:p w14:paraId="6E16F546">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lang w:eastAsia="zh-CN"/>
        </w:rPr>
        <w:t>（</w:t>
      </w:r>
      <w:r>
        <w:rPr>
          <w:rStyle w:val="36"/>
          <w:rFonts w:hint="eastAsia" w:ascii="宋体" w:hAnsi="宋体"/>
          <w:b w:val="0"/>
          <w:bCs/>
          <w:color w:val="000000"/>
          <w:szCs w:val="21"/>
          <w:lang w:val="en-US" w:eastAsia="zh-CN"/>
        </w:rPr>
        <w:t>7</w:t>
      </w:r>
      <w:r>
        <w:rPr>
          <w:rStyle w:val="36"/>
          <w:rFonts w:hint="eastAsia" w:ascii="宋体" w:hAnsi="宋体"/>
          <w:b w:val="0"/>
          <w:bCs/>
          <w:color w:val="000000"/>
          <w:szCs w:val="21"/>
          <w:lang w:eastAsia="zh-CN"/>
        </w:rPr>
        <w:t>）</w:t>
      </w:r>
      <w:r>
        <w:rPr>
          <w:rStyle w:val="36"/>
          <w:rFonts w:hint="eastAsia" w:ascii="宋体" w:hAnsi="宋体"/>
          <w:b w:val="0"/>
          <w:bCs/>
          <w:color w:val="000000"/>
          <w:szCs w:val="21"/>
        </w:rPr>
        <w:t>医院有大型参观、检查时，</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公司需无条件配合院方工作部署，并100%完成既定任务。</w:t>
      </w:r>
    </w:p>
    <w:p w14:paraId="47464924">
      <w:pPr>
        <w:spacing w:line="420" w:lineRule="exact"/>
        <w:ind w:firstLine="422" w:firstLineChars="200"/>
        <w:jc w:val="both"/>
        <w:rPr>
          <w:rStyle w:val="36"/>
          <w:rFonts w:hint="eastAsia" w:ascii="宋体" w:hAnsi="宋体"/>
          <w:b/>
          <w:bCs w:val="0"/>
          <w:color w:val="000000"/>
          <w:szCs w:val="21"/>
        </w:rPr>
      </w:pPr>
      <w:r>
        <w:rPr>
          <w:rStyle w:val="36"/>
          <w:rFonts w:hint="eastAsia" w:ascii="宋体" w:hAnsi="宋体"/>
          <w:b/>
          <w:bCs w:val="0"/>
          <w:color w:val="000000"/>
          <w:szCs w:val="21"/>
        </w:rPr>
        <w:t>（</w:t>
      </w:r>
      <w:r>
        <w:rPr>
          <w:rStyle w:val="36"/>
          <w:rFonts w:hint="eastAsia" w:ascii="宋体" w:hAnsi="宋体"/>
          <w:b/>
          <w:bCs w:val="0"/>
          <w:color w:val="000000"/>
          <w:szCs w:val="21"/>
          <w:lang w:val="en-US" w:eastAsia="zh-CN"/>
        </w:rPr>
        <w:t>六</w:t>
      </w:r>
      <w:r>
        <w:rPr>
          <w:rStyle w:val="36"/>
          <w:rFonts w:hint="eastAsia" w:ascii="宋体" w:hAnsi="宋体"/>
          <w:b/>
          <w:bCs w:val="0"/>
          <w:color w:val="000000"/>
          <w:szCs w:val="21"/>
        </w:rPr>
        <w:t>）</w:t>
      </w:r>
      <w:r>
        <w:rPr>
          <w:rStyle w:val="36"/>
          <w:rFonts w:hint="eastAsia" w:ascii="宋体" w:hAnsi="宋体"/>
          <w:b/>
          <w:bCs w:val="0"/>
          <w:color w:val="000000"/>
          <w:sz w:val="21"/>
          <w:szCs w:val="21"/>
          <w:lang w:val="en-US" w:eastAsia="zh-CN"/>
        </w:rPr>
        <w:t>中标</w:t>
      </w:r>
      <w:r>
        <w:rPr>
          <w:rStyle w:val="36"/>
          <w:rFonts w:hint="eastAsia" w:ascii="宋体" w:hAnsi="宋体"/>
          <w:b/>
          <w:bCs w:val="0"/>
          <w:color w:val="000000"/>
          <w:szCs w:val="21"/>
        </w:rPr>
        <w:t>公司有如下情形之一，本项目合同终止：</w:t>
      </w:r>
    </w:p>
    <w:p w14:paraId="35992239">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1.</w:t>
      </w:r>
      <w:r>
        <w:rPr>
          <w:rStyle w:val="36"/>
          <w:rFonts w:hint="eastAsia" w:ascii="宋体" w:hAnsi="宋体"/>
          <w:b w:val="0"/>
          <w:bCs/>
          <w:color w:val="000000"/>
          <w:sz w:val="21"/>
          <w:szCs w:val="21"/>
          <w:lang w:val="en-US" w:eastAsia="zh-CN"/>
        </w:rPr>
        <w:t>中标</w:t>
      </w:r>
      <w:r>
        <w:rPr>
          <w:rStyle w:val="36"/>
          <w:rFonts w:hint="eastAsia" w:ascii="宋体" w:hAnsi="宋体"/>
          <w:b w:val="0"/>
          <w:bCs/>
          <w:color w:val="000000"/>
          <w:szCs w:val="21"/>
        </w:rPr>
        <w:t>公司进驻医院后先在部分科室试行3个月，提供服务未达到签署合同内容的要求。</w:t>
      </w:r>
    </w:p>
    <w:p w14:paraId="55054B61">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2.护理部每</w:t>
      </w:r>
      <w:r>
        <w:rPr>
          <w:rStyle w:val="36"/>
          <w:rFonts w:hint="eastAsia" w:ascii="宋体" w:hAnsi="宋体"/>
          <w:b w:val="0"/>
          <w:bCs/>
          <w:color w:val="000000"/>
          <w:szCs w:val="21"/>
          <w:lang w:val="en-US" w:eastAsia="zh-CN"/>
        </w:rPr>
        <w:t>月</w:t>
      </w:r>
      <w:r>
        <w:rPr>
          <w:rStyle w:val="36"/>
          <w:rFonts w:hint="eastAsia" w:ascii="宋体" w:hAnsi="宋体"/>
          <w:b w:val="0"/>
          <w:bCs/>
          <w:color w:val="000000"/>
          <w:szCs w:val="21"/>
        </w:rPr>
        <w:t>或根据工作需要进行医疗护理员服务质量满意度调查，合同履行期患者/家属满意度&lt;80%，医务人员满意度&lt;80% ，累计达2次（每项为1次）。</w:t>
      </w:r>
    </w:p>
    <w:p w14:paraId="214D8535">
      <w:pPr>
        <w:spacing w:line="420" w:lineRule="exact"/>
        <w:ind w:firstLine="420" w:firstLineChars="200"/>
        <w:jc w:val="both"/>
        <w:rPr>
          <w:rStyle w:val="36"/>
          <w:rFonts w:hint="eastAsia" w:ascii="宋体" w:hAnsi="宋体"/>
          <w:b w:val="0"/>
          <w:bCs/>
          <w:color w:val="000000"/>
          <w:szCs w:val="21"/>
        </w:rPr>
      </w:pPr>
      <w:r>
        <w:rPr>
          <w:rStyle w:val="36"/>
          <w:rFonts w:hint="eastAsia" w:ascii="宋体" w:hAnsi="宋体"/>
          <w:b w:val="0"/>
          <w:bCs/>
          <w:color w:val="000000"/>
          <w:szCs w:val="21"/>
        </w:rPr>
        <w:t>3.一个月内出现3次或一个季度内出现5次有效投诉事件。</w:t>
      </w:r>
    </w:p>
    <w:p w14:paraId="039D4B18">
      <w:pPr>
        <w:spacing w:line="420" w:lineRule="exact"/>
        <w:ind w:firstLine="420" w:firstLineChars="200"/>
        <w:jc w:val="left"/>
        <w:rPr>
          <w:rStyle w:val="36"/>
          <w:rFonts w:hint="eastAsia" w:ascii="宋体" w:hAnsi="宋体"/>
          <w:b w:val="0"/>
          <w:bCs/>
          <w:color w:val="000000"/>
          <w:szCs w:val="21"/>
        </w:rPr>
      </w:pPr>
      <w:r>
        <w:rPr>
          <w:rStyle w:val="36"/>
          <w:rFonts w:hint="eastAsia" w:ascii="宋体" w:hAnsi="宋体"/>
          <w:b w:val="0"/>
          <w:bCs/>
          <w:color w:val="000000"/>
          <w:szCs w:val="21"/>
        </w:rPr>
        <w:t>4.因第三方公司管理不善，导致患者出现严重伤害甚至死亡引发法律纠纷的。</w:t>
      </w:r>
      <w:bookmarkEnd w:id="0"/>
      <w:bookmarkEnd w:id="1"/>
      <w:bookmarkEnd w:id="2"/>
    </w:p>
    <w:p w14:paraId="3F5E8902">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firstLine="422" w:firstLineChars="200"/>
        <w:textAlignment w:val="baseline"/>
        <w:rPr>
          <w:rStyle w:val="36"/>
          <w:rFonts w:hint="eastAsia" w:ascii="宋体" w:hAnsi="宋体" w:eastAsia="宋体" w:cs="Times New Roman"/>
          <w:b w:val="0"/>
          <w:bCs/>
          <w:color w:val="000000"/>
          <w:kern w:val="2"/>
          <w:sz w:val="21"/>
          <w:szCs w:val="21"/>
          <w:lang w:val="en-US" w:eastAsia="zh-CN" w:bidi="ar-SA"/>
        </w:rPr>
      </w:pPr>
      <w:r>
        <w:rPr>
          <w:rStyle w:val="36"/>
          <w:rFonts w:hint="eastAsia" w:ascii="宋体" w:hAnsi="宋体" w:eastAsia="宋体" w:cs="Times New Roman"/>
          <w:b/>
          <w:bCs w:val="0"/>
          <w:color w:val="000000"/>
          <w:kern w:val="2"/>
          <w:sz w:val="21"/>
          <w:szCs w:val="21"/>
          <w:lang w:val="en-US" w:eastAsia="zh-CN" w:bidi="ar-SA"/>
        </w:rPr>
        <w:t>（七）付款方式：</w:t>
      </w:r>
      <w:r>
        <w:rPr>
          <w:rStyle w:val="36"/>
          <w:rFonts w:hint="eastAsia" w:ascii="宋体" w:hAnsi="宋体" w:eastAsia="宋体" w:cs="Times New Roman"/>
          <w:b w:val="0"/>
          <w:bCs/>
          <w:color w:val="000000"/>
          <w:kern w:val="2"/>
          <w:sz w:val="21"/>
          <w:szCs w:val="21"/>
          <w:lang w:val="en-US" w:eastAsia="zh-CN" w:bidi="ar-SA"/>
        </w:rPr>
        <w:t>中标公司每月10日前汇总上月陪护服务营业收入清单，并与采购方管理部门（护理部）、使用科室核对，数据确认无误后双方签字，于每月20日前向采购方转入费用,用于开展辅助护理服务的水电、相关医疗设施损耗及辅助护理服务技术指导等必要的支出。采购方收到款项后7个工作日内开具增值税普通发票或收据给中标公司。</w:t>
      </w:r>
    </w:p>
    <w:p w14:paraId="1D43F0D0">
      <w:pPr>
        <w:spacing w:line="420" w:lineRule="exact"/>
        <w:ind w:firstLine="420" w:firstLineChars="200"/>
        <w:jc w:val="left"/>
        <w:rPr>
          <w:rStyle w:val="36"/>
          <w:rFonts w:hint="default" w:ascii="宋体" w:hAnsi="宋体" w:eastAsia="宋体"/>
          <w:b w:val="0"/>
          <w:bCs/>
          <w:color w:val="000000"/>
          <w:szCs w:val="21"/>
          <w:lang w:val="en-US" w:eastAsia="zh-CN"/>
        </w:rPr>
      </w:pPr>
    </w:p>
    <w:p w14:paraId="73F11A6A">
      <w:pPr>
        <w:spacing w:line="420" w:lineRule="exact"/>
        <w:ind w:firstLine="422" w:firstLineChars="200"/>
        <w:jc w:val="left"/>
        <w:rPr>
          <w:rStyle w:val="36"/>
          <w:rFonts w:hint="eastAsia" w:ascii="宋体" w:hAnsi="宋体"/>
          <w:b/>
          <w:bCs w:val="0"/>
          <w:color w:val="000000"/>
          <w:sz w:val="21"/>
          <w:szCs w:val="21"/>
          <w:lang w:val="en-US" w:eastAsia="zh-CN"/>
        </w:rPr>
      </w:pPr>
      <w:r>
        <w:rPr>
          <w:rStyle w:val="36"/>
          <w:rFonts w:hint="eastAsia" w:ascii="宋体" w:hAnsi="宋体"/>
          <w:b/>
          <w:bCs w:val="0"/>
          <w:color w:val="000000"/>
          <w:sz w:val="21"/>
          <w:szCs w:val="21"/>
          <w:lang w:val="en-US" w:eastAsia="zh-CN"/>
        </w:rPr>
        <w:t>附件2：</w:t>
      </w:r>
    </w:p>
    <w:p w14:paraId="26760CDB">
      <w:pPr>
        <w:spacing w:line="420" w:lineRule="exact"/>
        <w:ind w:firstLine="422" w:firstLineChars="200"/>
        <w:jc w:val="center"/>
        <w:rPr>
          <w:rFonts w:hint="eastAsia" w:ascii="宋体" w:hAnsi="宋体" w:eastAsia="宋体" w:cs="宋体"/>
          <w:b/>
          <w:bCs/>
          <w:i w:val="0"/>
          <w:iCs w:val="0"/>
          <w:caps w:val="0"/>
          <w:color w:val="333333"/>
          <w:spacing w:val="0"/>
          <w:sz w:val="28"/>
          <w:szCs w:val="28"/>
          <w:shd w:val="clear" w:color="auto" w:fill="FFFFFF"/>
        </w:rPr>
      </w:pPr>
      <w:r>
        <w:rPr>
          <w:rStyle w:val="36"/>
          <w:rFonts w:hint="eastAsia" w:ascii="宋体" w:hAnsi="宋体"/>
          <w:b/>
          <w:bCs w:val="0"/>
          <w:color w:val="000000"/>
          <w:sz w:val="21"/>
          <w:szCs w:val="21"/>
          <w:lang w:val="en-US" w:eastAsia="zh-CN"/>
        </w:rPr>
        <w:t>评审标准</w:t>
      </w:r>
    </w:p>
    <w:p w14:paraId="1701172A">
      <w:pPr>
        <w:spacing w:line="420" w:lineRule="exact"/>
        <w:ind w:firstLine="422" w:firstLineChars="200"/>
        <w:jc w:val="center"/>
        <w:rPr>
          <w:rStyle w:val="36"/>
          <w:rFonts w:hint="default" w:ascii="宋体" w:hAnsi="宋体"/>
          <w:b/>
          <w:bCs w:val="0"/>
          <w:color w:val="000000"/>
          <w:sz w:val="21"/>
          <w:szCs w:val="21"/>
          <w:lang w:val="en-US" w:eastAsia="zh-CN"/>
        </w:rPr>
      </w:pPr>
    </w:p>
    <w:p w14:paraId="0A02CB42">
      <w:pPr>
        <w:pStyle w:val="10"/>
        <w:spacing w:line="400" w:lineRule="exact"/>
        <w:ind w:firstLine="420"/>
        <w:rPr>
          <w:rFonts w:hint="eastAsia" w:hAnsi="宋体"/>
          <w:b/>
          <w:bCs/>
          <w:sz w:val="21"/>
          <w:highlight w:val="none"/>
          <w:lang w:eastAsia="zh-CN"/>
        </w:rPr>
      </w:pPr>
      <w:r>
        <w:rPr>
          <w:rFonts w:hint="eastAsia" w:hAnsi="宋体"/>
          <w:b/>
          <w:bCs/>
          <w:sz w:val="21"/>
          <w:highlight w:val="none"/>
        </w:rPr>
        <w:t>计分</w:t>
      </w:r>
      <w:r>
        <w:rPr>
          <w:rFonts w:hint="eastAsia" w:hAnsi="宋体"/>
          <w:b/>
          <w:bCs/>
          <w:sz w:val="21"/>
          <w:highlight w:val="none"/>
          <w:lang w:val="en-US" w:eastAsia="zh-CN"/>
        </w:rPr>
        <w:t>标准</w:t>
      </w:r>
      <w:r>
        <w:rPr>
          <w:rFonts w:hint="eastAsia" w:hAnsi="宋体"/>
          <w:b/>
          <w:bCs/>
          <w:sz w:val="21"/>
          <w:highlight w:val="none"/>
        </w:rPr>
        <w:t>（按四舍五入取至百分位）：</w:t>
      </w:r>
    </w:p>
    <w:p w14:paraId="375DFBF9">
      <w:pPr>
        <w:pStyle w:val="10"/>
        <w:spacing w:line="360" w:lineRule="exact"/>
        <w:ind w:firstLine="420"/>
        <w:rPr>
          <w:rFonts w:hAnsi="宋体" w:cs="宋体"/>
          <w:bCs/>
          <w:color w:val="auto"/>
          <w:highlight w:val="none"/>
        </w:rPr>
      </w:pPr>
      <w:r>
        <w:rPr>
          <w:rFonts w:hint="eastAsia" w:hAnsi="宋体" w:cs="宋体"/>
          <w:b/>
          <w:color w:val="auto"/>
          <w:highlight w:val="none"/>
          <w:lang w:val="en-US" w:eastAsia="zh-CN"/>
        </w:rPr>
        <w:t>一、</w:t>
      </w:r>
      <w:r>
        <w:rPr>
          <w:rFonts w:hint="eastAsia" w:hAnsi="宋体" w:cs="宋体"/>
          <w:b/>
          <w:bCs/>
          <w:color w:val="auto"/>
          <w:highlight w:val="none"/>
        </w:rPr>
        <w:t>价格分</w:t>
      </w:r>
      <w:r>
        <w:rPr>
          <w:rFonts w:hint="eastAsia" w:hAnsi="宋体" w:cs="宋体"/>
          <w:bCs/>
          <w:color w:val="auto"/>
          <w:highlight w:val="none"/>
        </w:rPr>
        <w:t>…………………………………………………………………………………</w:t>
      </w:r>
      <w:r>
        <w:rPr>
          <w:rFonts w:hint="eastAsia" w:hAnsi="宋体" w:cs="宋体"/>
          <w:b/>
          <w:color w:val="auto"/>
          <w:highlight w:val="none"/>
        </w:rPr>
        <w:t>满分</w:t>
      </w:r>
      <w:r>
        <w:rPr>
          <w:rFonts w:hint="eastAsia" w:hAnsi="宋体" w:cs="宋体"/>
          <w:b/>
          <w:color w:val="auto"/>
          <w:highlight w:val="none"/>
          <w:lang w:val="en-US" w:eastAsia="zh-CN"/>
        </w:rPr>
        <w:t>20</w:t>
      </w:r>
      <w:r>
        <w:rPr>
          <w:rFonts w:hint="eastAsia" w:hAnsi="宋体" w:cs="宋体"/>
          <w:b/>
          <w:color w:val="auto"/>
          <w:highlight w:val="none"/>
        </w:rPr>
        <w:t>分</w:t>
      </w:r>
    </w:p>
    <w:p w14:paraId="142B6B68">
      <w:pPr>
        <w:pStyle w:val="10"/>
        <w:spacing w:line="360" w:lineRule="exact"/>
        <w:ind w:firstLine="420"/>
        <w:rPr>
          <w:rFonts w:hint="eastAsia" w:hAnsi="宋体"/>
          <w:b w:val="0"/>
          <w:bCs w:val="0"/>
          <w:sz w:val="21"/>
          <w:highlight w:val="none"/>
          <w:lang w:val="en-US" w:eastAsia="zh-CN"/>
        </w:rPr>
      </w:pPr>
      <w:r>
        <w:rPr>
          <w:rFonts w:hint="eastAsia" w:hAnsi="宋体"/>
          <w:b w:val="0"/>
          <w:bCs w:val="0"/>
          <w:sz w:val="21"/>
          <w:highlight w:val="none"/>
          <w:lang w:val="en-US" w:eastAsia="zh-CN"/>
        </w:rPr>
        <w:t>（1）投标人参考2025年《自治区医保局关于规范整合护理类医疗服务项目价格的通知》要求进行收费，满分10分，投标报价最低的价格作为评标基准价，价格分=（评标基准价／评标报价）×10分；</w:t>
      </w:r>
    </w:p>
    <w:p w14:paraId="02A3A585">
      <w:pPr>
        <w:pStyle w:val="10"/>
        <w:spacing w:line="360" w:lineRule="exact"/>
        <w:ind w:firstLine="420"/>
        <w:rPr>
          <w:rFonts w:hint="eastAsia" w:hAnsi="宋体"/>
          <w:b w:val="0"/>
          <w:bCs w:val="0"/>
          <w:sz w:val="21"/>
          <w:highlight w:val="none"/>
          <w:lang w:val="en-US" w:eastAsia="zh-CN"/>
        </w:rPr>
      </w:pPr>
      <w:r>
        <w:rPr>
          <w:rFonts w:hint="eastAsia" w:hAnsi="宋体"/>
          <w:b w:val="0"/>
          <w:bCs w:val="0"/>
          <w:sz w:val="21"/>
          <w:highlight w:val="none"/>
          <w:lang w:val="en-US" w:eastAsia="zh-CN"/>
        </w:rPr>
        <w:t>（2）</w:t>
      </w:r>
      <w:r>
        <w:rPr>
          <w:rFonts w:hint="eastAsia" w:asciiTheme="minorEastAsia" w:hAnsiTheme="minorEastAsia" w:eastAsiaTheme="minorEastAsia" w:cstheme="minorEastAsia"/>
          <w:color w:val="auto"/>
          <w:sz w:val="21"/>
          <w:szCs w:val="21"/>
          <w:highlight w:val="none"/>
        </w:rPr>
        <w:t>用于开展辅助护理服务的水电、相关医疗设施损耗及辅助护理服务技术指导等必要的支出，按营业总收入_%支付给采购方</w:t>
      </w:r>
      <w:r>
        <w:rPr>
          <w:rFonts w:hint="eastAsia" w:hAnsi="宋体"/>
          <w:b w:val="0"/>
          <w:bCs w:val="0"/>
          <w:sz w:val="21"/>
          <w:highlight w:val="none"/>
          <w:lang w:val="en-US" w:eastAsia="zh-CN"/>
        </w:rPr>
        <w:t>：满分10分，按业务总收入计算的最高比例为评标基准价，价格分=（1-评标基准价）／（1-评标报价）×10分。</w:t>
      </w:r>
    </w:p>
    <w:p w14:paraId="235324F7">
      <w:pPr>
        <w:pStyle w:val="10"/>
        <w:spacing w:line="360" w:lineRule="exact"/>
        <w:ind w:firstLine="420"/>
        <w:rPr>
          <w:rFonts w:hAnsi="宋体"/>
          <w:b/>
          <w:bCs/>
          <w:color w:val="auto"/>
          <w:sz w:val="21"/>
        </w:rPr>
      </w:pPr>
      <w:r>
        <w:rPr>
          <w:rFonts w:hint="eastAsia" w:hAnsi="宋体"/>
          <w:b/>
          <w:bCs/>
          <w:color w:val="auto"/>
          <w:sz w:val="21"/>
          <w:lang w:val="en-US" w:eastAsia="zh-CN"/>
        </w:rPr>
        <w:t>二、</w:t>
      </w:r>
      <w:r>
        <w:rPr>
          <w:rFonts w:hint="eastAsia" w:hAnsi="宋体"/>
          <w:b/>
          <w:bCs/>
          <w:color w:val="auto"/>
          <w:sz w:val="21"/>
        </w:rPr>
        <w:t>技术分………………………………………………………………………………………</w:t>
      </w:r>
      <w:r>
        <w:rPr>
          <w:rFonts w:hint="eastAsia" w:hAnsi="宋体"/>
          <w:b/>
          <w:bCs/>
          <w:color w:val="auto"/>
          <w:sz w:val="21"/>
          <w:lang w:val="en-US" w:eastAsia="zh-CN"/>
        </w:rPr>
        <w:t>70</w:t>
      </w:r>
      <w:r>
        <w:rPr>
          <w:rFonts w:hint="eastAsia" w:hAnsi="宋体"/>
          <w:b/>
          <w:bCs/>
          <w:color w:val="auto"/>
          <w:sz w:val="21"/>
        </w:rPr>
        <w:t>分</w:t>
      </w:r>
    </w:p>
    <w:p w14:paraId="69212858">
      <w:pPr>
        <w:spacing w:line="360" w:lineRule="exact"/>
        <w:ind w:firstLine="426" w:firstLineChars="202"/>
        <w:jc w:val="left"/>
        <w:rPr>
          <w:rFonts w:hint="eastAsia" w:ascii="宋体" w:hAnsi="宋体"/>
          <w:b/>
          <w:color w:val="auto"/>
          <w:szCs w:val="21"/>
        </w:rPr>
      </w:pPr>
      <w:r>
        <w:rPr>
          <w:rFonts w:hint="eastAsia" w:ascii="宋体" w:hAnsi="宋体"/>
          <w:b/>
          <w:color w:val="auto"/>
          <w:szCs w:val="21"/>
        </w:rPr>
        <w:t>（1）</w:t>
      </w:r>
      <w:r>
        <w:rPr>
          <w:rFonts w:hint="eastAsia" w:ascii="宋体" w:hAnsi="宋体"/>
          <w:b/>
          <w:color w:val="auto"/>
          <w:szCs w:val="21"/>
          <w:lang w:val="en-US" w:eastAsia="zh-CN"/>
        </w:rPr>
        <w:t>项目总体</w:t>
      </w:r>
      <w:r>
        <w:rPr>
          <w:rFonts w:hint="eastAsia" w:ascii="宋体" w:hAnsi="宋体"/>
          <w:b/>
          <w:color w:val="auto"/>
          <w:szCs w:val="21"/>
        </w:rPr>
        <w:t>服务方案分（满分</w:t>
      </w:r>
      <w:r>
        <w:rPr>
          <w:rFonts w:hint="eastAsia" w:ascii="宋体" w:hAnsi="宋体"/>
          <w:b/>
          <w:color w:val="auto"/>
          <w:szCs w:val="21"/>
          <w:lang w:val="en-US" w:eastAsia="zh-CN"/>
        </w:rPr>
        <w:t>20</w:t>
      </w:r>
      <w:r>
        <w:rPr>
          <w:rFonts w:hint="eastAsia" w:ascii="宋体" w:hAnsi="宋体"/>
          <w:b/>
          <w:color w:val="auto"/>
          <w:szCs w:val="21"/>
        </w:rPr>
        <w:t>分）</w:t>
      </w:r>
    </w:p>
    <w:p w14:paraId="3A2559CB">
      <w:pPr>
        <w:pStyle w:val="8"/>
        <w:spacing w:line="360" w:lineRule="exact"/>
        <w:ind w:firstLine="420" w:firstLineChars="200"/>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一档（10分）：提供有项目总体服务方案，方案粗略，内容不全面，包含医疗护理员服务规范、管理制度。</w:t>
      </w:r>
    </w:p>
    <w:p w14:paraId="03A3C56F">
      <w:pPr>
        <w:pStyle w:val="8"/>
        <w:spacing w:line="360" w:lineRule="exact"/>
        <w:ind w:firstLine="420" w:firstLineChars="200"/>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二档（15分）：提供有项目总体服务方案，服务方案合理，内容较丰富、较科学，至少包含护理员服务规范、管理制度、质量监管、培训考核、应急事件处理等内容。</w:t>
      </w:r>
    </w:p>
    <w:p w14:paraId="4AAF3AC2">
      <w:pPr>
        <w:pStyle w:val="8"/>
        <w:spacing w:line="360" w:lineRule="exact"/>
        <w:ind w:firstLine="420" w:firstLineChars="200"/>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三档（20分）：项目总体服务方案详尽、全面，覆盖免陪照护的全流程、全链条管理，具有一定的科学性、先进性、可靠性、成熟性、合理性和扩展性，包含了医疗护理员的招聘培训方案、医疗护理员的薪酬考核方案、质量监管措施、预约点单的智能管理平台、收费管理方案、应急处置方案、完善的陪护管理与服务制度、散陪人员管理方案、接管方案。</w:t>
      </w:r>
    </w:p>
    <w:p w14:paraId="03F20209">
      <w:pPr>
        <w:pStyle w:val="10"/>
        <w:numPr>
          <w:ilvl w:val="0"/>
          <w:numId w:val="0"/>
        </w:numPr>
        <w:spacing w:line="360" w:lineRule="exact"/>
        <w:ind w:firstLine="422" w:firstLineChars="200"/>
        <w:rPr>
          <w:rFonts w:hint="eastAsia" w:ascii="宋体" w:hAnsi="宋体" w:eastAsia="宋体" w:cs="Times New Roman"/>
          <w:b/>
          <w:bCs/>
          <w:color w:val="auto"/>
          <w:kern w:val="2"/>
          <w:sz w:val="21"/>
          <w:szCs w:val="21"/>
          <w:lang w:val="en-US" w:eastAsia="zh-CN" w:bidi="ar-SA"/>
        </w:rPr>
      </w:pPr>
      <w:r>
        <w:rPr>
          <w:rFonts w:hint="eastAsia" w:ascii="宋体" w:hAnsi="宋体" w:eastAsia="宋体" w:cs="Times New Roman"/>
          <w:b/>
          <w:bCs/>
          <w:color w:val="auto"/>
          <w:kern w:val="2"/>
          <w:sz w:val="21"/>
          <w:szCs w:val="21"/>
          <w:lang w:val="en-US" w:eastAsia="zh-CN" w:bidi="ar-SA"/>
        </w:rPr>
        <w:t>（2）员工培训方案（满分</w:t>
      </w:r>
      <w:r>
        <w:rPr>
          <w:rFonts w:hint="eastAsia" w:hAnsi="宋体" w:cs="Times New Roman"/>
          <w:b/>
          <w:bCs/>
          <w:color w:val="auto"/>
          <w:kern w:val="2"/>
          <w:sz w:val="21"/>
          <w:szCs w:val="21"/>
          <w:lang w:val="en-US" w:eastAsia="zh-CN" w:bidi="ar-SA"/>
        </w:rPr>
        <w:t>7</w:t>
      </w:r>
      <w:r>
        <w:rPr>
          <w:rFonts w:hint="eastAsia" w:ascii="宋体" w:hAnsi="宋体" w:eastAsia="宋体" w:cs="Times New Roman"/>
          <w:b/>
          <w:bCs/>
          <w:color w:val="auto"/>
          <w:kern w:val="2"/>
          <w:sz w:val="21"/>
          <w:szCs w:val="21"/>
          <w:lang w:val="en-US" w:eastAsia="zh-CN" w:bidi="ar-SA"/>
        </w:rPr>
        <w:t>分）</w:t>
      </w:r>
    </w:p>
    <w:p w14:paraId="796C9476">
      <w:pPr>
        <w:pStyle w:val="10"/>
        <w:numPr>
          <w:ilvl w:val="0"/>
          <w:numId w:val="0"/>
        </w:numPr>
        <w:spacing w:line="360" w:lineRule="exact"/>
        <w:ind w:left="420" w:hanging="420" w:hangingChars="20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 xml:space="preserve">  </w:t>
      </w:r>
      <w:r>
        <w:rPr>
          <w:rFonts w:hint="eastAsia" w:hAnsi="宋体" w:cs="Times New Roman"/>
          <w:color w:val="auto"/>
          <w:kern w:val="2"/>
          <w:sz w:val="21"/>
          <w:szCs w:val="21"/>
          <w:lang w:val="en-US" w:eastAsia="zh-CN" w:bidi="ar-SA"/>
        </w:rPr>
        <w:t xml:space="preserve">  </w:t>
      </w:r>
      <w:r>
        <w:rPr>
          <w:rFonts w:hint="eastAsia" w:ascii="宋体" w:hAnsi="宋体" w:eastAsia="宋体" w:cs="宋体"/>
          <w:color w:val="auto"/>
          <w:kern w:val="2"/>
          <w:sz w:val="21"/>
          <w:szCs w:val="21"/>
          <w:lang w:val="en-US" w:eastAsia="zh-CN" w:bidi="ar-SA"/>
        </w:rPr>
        <w:t>①</w:t>
      </w:r>
      <w:r>
        <w:rPr>
          <w:rFonts w:hint="eastAsia" w:ascii="宋体" w:hAnsi="宋体" w:eastAsia="宋体" w:cs="Times New Roman"/>
          <w:color w:val="auto"/>
          <w:kern w:val="2"/>
          <w:sz w:val="21"/>
          <w:szCs w:val="21"/>
          <w:lang w:val="en-US" w:eastAsia="zh-CN" w:bidi="ar-SA"/>
        </w:rPr>
        <w:t>根据投标人所提供的方案进行评分，不提供不得分；</w:t>
      </w:r>
      <w:r>
        <w:rPr>
          <w:rFonts w:hint="eastAsia" w:ascii="宋体" w:hAnsi="宋体" w:eastAsia="宋体" w:cs="Times New Roman"/>
          <w:color w:val="auto"/>
          <w:kern w:val="2"/>
          <w:sz w:val="21"/>
          <w:szCs w:val="21"/>
          <w:lang w:val="en-US" w:eastAsia="zh-CN" w:bidi="ar-SA"/>
        </w:rPr>
        <w:br w:type="textWrapping"/>
      </w:r>
      <w:r>
        <w:rPr>
          <w:rFonts w:hint="eastAsia" w:ascii="宋体" w:hAnsi="宋体" w:eastAsia="宋体" w:cs="Times New Roman"/>
          <w:color w:val="auto"/>
          <w:kern w:val="2"/>
          <w:sz w:val="21"/>
          <w:szCs w:val="21"/>
          <w:lang w:val="en-US" w:eastAsia="zh-CN" w:bidi="ar-SA"/>
        </w:rPr>
        <w:t>一档（</w:t>
      </w:r>
      <w:r>
        <w:rPr>
          <w:rFonts w:hint="eastAsia" w:hAnsi="宋体" w:cs="Times New Roman"/>
          <w:color w:val="auto"/>
          <w:kern w:val="2"/>
          <w:sz w:val="21"/>
          <w:szCs w:val="21"/>
          <w:lang w:val="en-US" w:eastAsia="zh-CN" w:bidi="ar-SA"/>
        </w:rPr>
        <w:t>3</w:t>
      </w:r>
      <w:r>
        <w:rPr>
          <w:rFonts w:hint="eastAsia" w:ascii="宋体" w:hAnsi="宋体" w:eastAsia="宋体" w:cs="Times New Roman"/>
          <w:color w:val="auto"/>
          <w:kern w:val="2"/>
          <w:sz w:val="21"/>
          <w:szCs w:val="21"/>
          <w:lang w:val="en-US" w:eastAsia="zh-CN" w:bidi="ar-SA"/>
        </w:rPr>
        <w:t>分）：内容简单、无详细的培训安排；</w:t>
      </w:r>
      <w:r>
        <w:rPr>
          <w:rFonts w:hint="eastAsia" w:ascii="宋体" w:hAnsi="宋体" w:eastAsia="宋体" w:cs="Times New Roman"/>
          <w:color w:val="auto"/>
          <w:kern w:val="2"/>
          <w:sz w:val="21"/>
          <w:szCs w:val="21"/>
          <w:lang w:val="en-US" w:eastAsia="zh-CN" w:bidi="ar-SA"/>
        </w:rPr>
        <w:br w:type="textWrapping"/>
      </w:r>
      <w:r>
        <w:rPr>
          <w:rFonts w:hint="eastAsia" w:ascii="宋体" w:hAnsi="宋体" w:eastAsia="宋体" w:cs="Times New Roman"/>
          <w:color w:val="auto"/>
          <w:kern w:val="2"/>
          <w:sz w:val="21"/>
          <w:szCs w:val="21"/>
          <w:lang w:val="en-US" w:eastAsia="zh-CN" w:bidi="ar-SA"/>
        </w:rPr>
        <w:t>二档（</w:t>
      </w:r>
      <w:r>
        <w:rPr>
          <w:rFonts w:hint="eastAsia" w:hAnsi="宋体" w:cs="Times New Roman"/>
          <w:color w:val="auto"/>
          <w:kern w:val="2"/>
          <w:sz w:val="21"/>
          <w:szCs w:val="21"/>
          <w:lang w:val="en-US" w:eastAsia="zh-CN" w:bidi="ar-SA"/>
        </w:rPr>
        <w:t>5</w:t>
      </w:r>
      <w:r>
        <w:rPr>
          <w:rFonts w:hint="eastAsia" w:ascii="宋体" w:hAnsi="宋体" w:eastAsia="宋体" w:cs="Times New Roman"/>
          <w:color w:val="auto"/>
          <w:kern w:val="2"/>
          <w:sz w:val="21"/>
          <w:szCs w:val="21"/>
          <w:lang w:val="en-US" w:eastAsia="zh-CN" w:bidi="ar-SA"/>
        </w:rPr>
        <w:t>分）：内容涵盖全面，有详细的培训安排，有专门的人员、场地对医疗护理员进行培训；</w:t>
      </w:r>
      <w:r>
        <w:rPr>
          <w:rFonts w:hint="eastAsia" w:ascii="宋体" w:hAnsi="宋体" w:eastAsia="宋体" w:cs="Times New Roman"/>
          <w:color w:val="auto"/>
          <w:kern w:val="2"/>
          <w:sz w:val="21"/>
          <w:szCs w:val="21"/>
          <w:lang w:val="en-US" w:eastAsia="zh-CN" w:bidi="ar-SA"/>
        </w:rPr>
        <w:br w:type="textWrapping"/>
      </w:r>
      <w:r>
        <w:rPr>
          <w:rFonts w:hint="eastAsia" w:ascii="宋体" w:hAnsi="宋体" w:eastAsia="宋体" w:cs="Times New Roman"/>
          <w:color w:val="auto"/>
          <w:kern w:val="2"/>
          <w:sz w:val="21"/>
          <w:szCs w:val="21"/>
          <w:lang w:val="en-US" w:eastAsia="zh-CN" w:bidi="ar-SA"/>
        </w:rPr>
        <w:t>三档（</w:t>
      </w:r>
      <w:r>
        <w:rPr>
          <w:rFonts w:hint="eastAsia" w:hAnsi="宋体" w:cs="Times New Roman"/>
          <w:color w:val="auto"/>
          <w:kern w:val="2"/>
          <w:sz w:val="21"/>
          <w:szCs w:val="21"/>
          <w:lang w:val="en-US" w:eastAsia="zh-CN" w:bidi="ar-SA"/>
        </w:rPr>
        <w:t>7</w:t>
      </w:r>
      <w:r>
        <w:rPr>
          <w:rFonts w:hint="eastAsia" w:ascii="宋体" w:hAnsi="宋体" w:eastAsia="宋体" w:cs="Times New Roman"/>
          <w:color w:val="auto"/>
          <w:kern w:val="2"/>
          <w:sz w:val="21"/>
          <w:szCs w:val="21"/>
          <w:lang w:val="en-US" w:eastAsia="zh-CN" w:bidi="ar-SA"/>
        </w:rPr>
        <w:t xml:space="preserve"> 分）：内容涵盖面全面、保障性高（培训计划、培训要求、培训效果考核等），有医疗护理员</w:t>
      </w:r>
    </w:p>
    <w:p w14:paraId="08083198">
      <w:pPr>
        <w:pStyle w:val="10"/>
        <w:numPr>
          <w:ilvl w:val="0"/>
          <w:numId w:val="0"/>
        </w:numPr>
        <w:spacing w:line="360" w:lineRule="exact"/>
        <w:ind w:left="420" w:hanging="420" w:hangingChars="200"/>
        <w:rPr>
          <w:rFonts w:hint="default"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培训手册，拥有专门的培训机构或与当地专门的培训机构签订一年及以上的委托培训协议，且在协议期内。</w:t>
      </w:r>
    </w:p>
    <w:p w14:paraId="231A58A6">
      <w:pPr>
        <w:spacing w:line="360" w:lineRule="exact"/>
        <w:ind w:firstLine="422" w:firstLineChars="200"/>
        <w:rPr>
          <w:rFonts w:hint="eastAsia" w:ascii="宋体" w:hAnsi="宋体" w:eastAsia="宋体" w:cs="Times New Roman"/>
          <w:b/>
          <w:bCs w:val="0"/>
          <w:color w:val="auto"/>
          <w:kern w:val="2"/>
          <w:sz w:val="21"/>
          <w:szCs w:val="21"/>
          <w:lang w:val="en-US" w:eastAsia="zh-CN" w:bidi="ar-SA"/>
        </w:rPr>
      </w:pPr>
      <w:r>
        <w:rPr>
          <w:rFonts w:hint="eastAsia" w:ascii="宋体" w:hAnsi="宋体"/>
          <w:b/>
          <w:bCs w:val="0"/>
          <w:color w:val="auto"/>
          <w:kern w:val="0"/>
          <w:szCs w:val="21"/>
        </w:rPr>
        <w:t>（</w:t>
      </w:r>
      <w:r>
        <w:rPr>
          <w:rFonts w:hint="eastAsia" w:ascii="宋体" w:hAnsi="宋体" w:eastAsia="宋体" w:cs="Times New Roman"/>
          <w:b/>
          <w:bCs w:val="0"/>
          <w:color w:val="auto"/>
          <w:kern w:val="2"/>
          <w:sz w:val="21"/>
          <w:szCs w:val="21"/>
          <w:lang w:val="en-US" w:eastAsia="zh-CN" w:bidi="ar-SA"/>
        </w:rPr>
        <w:t>3）员工绩效考核及质量监管方案（满分10分）</w:t>
      </w:r>
    </w:p>
    <w:p w14:paraId="3AECC1C1">
      <w:pPr>
        <w:spacing w:line="360" w:lineRule="exact"/>
        <w:ind w:firstLine="420" w:firstLineChars="20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未提供方案或方案内容达不到一档要求的为0分。</w:t>
      </w:r>
    </w:p>
    <w:p w14:paraId="1A43BF0D">
      <w:pPr>
        <w:spacing w:line="360" w:lineRule="exact"/>
        <w:ind w:firstLine="420" w:firstLineChars="20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一档（5分）：提供相关方案，绩效考核及质量监管措施简单，绩效未与工作质量挂钩。</w:t>
      </w:r>
    </w:p>
    <w:p w14:paraId="44A77637">
      <w:pPr>
        <w:spacing w:line="360" w:lineRule="exact"/>
        <w:ind w:firstLine="420" w:firstLineChars="20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二档（7分）：提供相关方案，绩效考核及质量监管有具体措施，体现绩效与工作量、工作质量及满意度挂钩，能提供至少</w:t>
      </w:r>
      <w:r>
        <w:rPr>
          <w:rFonts w:hint="eastAsia" w:ascii="宋体" w:hAnsi="宋体" w:cs="Times New Roman"/>
          <w:color w:val="auto"/>
          <w:kern w:val="2"/>
          <w:sz w:val="21"/>
          <w:szCs w:val="21"/>
          <w:lang w:val="en-US" w:eastAsia="zh-CN" w:bidi="ar-SA"/>
        </w:rPr>
        <w:t>一个月绩效分配资料。</w:t>
      </w:r>
    </w:p>
    <w:p w14:paraId="7CDFE175">
      <w:pPr>
        <w:spacing w:line="360" w:lineRule="exact"/>
        <w:ind w:firstLine="420" w:firstLineChars="20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三档（10分）：提供相关方案，有详细的绩效考核及质量监管制度、医疗护理员星级评定管理办法，措施具有针对性，绩效与工作量、工作质量、满意度、星级评定结果挂钩，最大化的保证员工的工作积极性及福利待遇</w:t>
      </w:r>
      <w:r>
        <w:rPr>
          <w:rFonts w:hint="eastAsia" w:ascii="宋体" w:hAnsi="宋体" w:cs="Times New Roman"/>
          <w:color w:val="auto"/>
          <w:kern w:val="2"/>
          <w:sz w:val="21"/>
          <w:szCs w:val="21"/>
          <w:lang w:val="en-US" w:eastAsia="zh-CN" w:bidi="ar-SA"/>
        </w:rPr>
        <w:t>。</w:t>
      </w:r>
      <w:r>
        <w:rPr>
          <w:rFonts w:hint="eastAsia" w:ascii="宋体" w:hAnsi="宋体" w:eastAsia="宋体" w:cs="Times New Roman"/>
          <w:color w:val="auto"/>
          <w:kern w:val="2"/>
          <w:sz w:val="21"/>
          <w:szCs w:val="21"/>
          <w:lang w:val="en-US" w:eastAsia="zh-CN" w:bidi="ar-SA"/>
        </w:rPr>
        <w:t>能提供至少</w:t>
      </w:r>
      <w:r>
        <w:rPr>
          <w:rFonts w:hint="eastAsia" w:ascii="宋体" w:hAnsi="宋体" w:cs="Times New Roman"/>
          <w:color w:val="auto"/>
          <w:kern w:val="2"/>
          <w:sz w:val="21"/>
          <w:szCs w:val="21"/>
          <w:lang w:val="en-US" w:eastAsia="zh-CN" w:bidi="ar-SA"/>
        </w:rPr>
        <w:t>一个月绩效分配与质量监管挂钩的资料，包括人员名单、绩效数额、服务科室、服务数量、服务质量、满意度评价。</w:t>
      </w:r>
    </w:p>
    <w:p w14:paraId="19B9DD4B">
      <w:pPr>
        <w:pStyle w:val="10"/>
        <w:spacing w:line="360" w:lineRule="exact"/>
        <w:ind w:firstLine="420"/>
        <w:rPr>
          <w:rFonts w:hint="eastAsia" w:hAnsi="宋体"/>
          <w:b/>
          <w:bCs/>
          <w:color w:val="auto"/>
          <w:sz w:val="21"/>
          <w:lang w:eastAsia="zh-CN"/>
        </w:rPr>
      </w:pPr>
      <w:r>
        <w:rPr>
          <w:rFonts w:hint="eastAsia" w:hAnsi="宋体"/>
          <w:b/>
          <w:bCs/>
          <w:color w:val="auto"/>
          <w:sz w:val="21"/>
          <w:lang w:eastAsia="zh-CN"/>
        </w:rPr>
        <w:t>(4）</w:t>
      </w:r>
      <w:r>
        <w:rPr>
          <w:rFonts w:hint="eastAsia" w:hAnsi="宋体" w:cs="宋体"/>
          <w:b/>
          <w:color w:val="auto"/>
        </w:rPr>
        <w:t>项目管理团队</w:t>
      </w:r>
      <w:r>
        <w:rPr>
          <w:rFonts w:hint="eastAsia" w:hAnsi="宋体"/>
          <w:b/>
          <w:bCs/>
          <w:color w:val="auto"/>
          <w:sz w:val="21"/>
          <w:lang w:eastAsia="zh-CN"/>
        </w:rPr>
        <w:t>（</w:t>
      </w:r>
      <w:r>
        <w:rPr>
          <w:rFonts w:hint="eastAsia" w:hAnsi="宋体"/>
          <w:b/>
          <w:bCs/>
          <w:color w:val="auto"/>
          <w:sz w:val="21"/>
          <w:lang w:val="en-US" w:eastAsia="zh-CN"/>
        </w:rPr>
        <w:t>13</w:t>
      </w:r>
      <w:r>
        <w:rPr>
          <w:rFonts w:hint="eastAsia" w:hAnsi="宋体"/>
          <w:b/>
          <w:bCs/>
          <w:color w:val="auto"/>
          <w:sz w:val="21"/>
          <w:lang w:eastAsia="zh-CN"/>
        </w:rPr>
        <w:t>分）</w:t>
      </w:r>
    </w:p>
    <w:p w14:paraId="57DE163F">
      <w:pPr>
        <w:pStyle w:val="10"/>
        <w:spacing w:line="360" w:lineRule="exact"/>
        <w:ind w:firstLine="420"/>
        <w:rPr>
          <w:rFonts w:hint="eastAsia" w:hAnsi="宋体"/>
          <w:b/>
          <w:bCs w:val="0"/>
          <w:color w:val="auto"/>
          <w:sz w:val="21"/>
          <w:lang w:eastAsia="zh-CN"/>
        </w:rPr>
      </w:pPr>
      <w:r>
        <w:rPr>
          <w:rFonts w:hint="eastAsia" w:hAnsi="宋体"/>
          <w:b/>
          <w:bCs w:val="0"/>
          <w:color w:val="auto"/>
          <w:sz w:val="21"/>
          <w:lang w:val="en-US" w:eastAsia="zh-CN"/>
        </w:rPr>
        <w:t>①</w:t>
      </w:r>
      <w:r>
        <w:rPr>
          <w:rFonts w:hint="eastAsia" w:hAnsi="宋体"/>
          <w:b/>
          <w:bCs w:val="0"/>
          <w:color w:val="auto"/>
          <w:sz w:val="21"/>
          <w:lang w:eastAsia="zh-CN"/>
        </w:rPr>
        <w:t>对</w:t>
      </w:r>
      <w:r>
        <w:rPr>
          <w:rFonts w:hint="eastAsia" w:hAnsi="宋体"/>
          <w:b/>
          <w:bCs w:val="0"/>
          <w:color w:val="auto"/>
          <w:sz w:val="21"/>
          <w:lang w:val="en-US" w:eastAsia="zh-CN"/>
        </w:rPr>
        <w:t>投标方</w:t>
      </w:r>
      <w:r>
        <w:rPr>
          <w:rFonts w:hint="eastAsia" w:hAnsi="宋体"/>
          <w:b/>
          <w:bCs w:val="0"/>
          <w:color w:val="auto"/>
          <w:sz w:val="21"/>
          <w:lang w:eastAsia="zh-CN"/>
        </w:rPr>
        <w:t>提供的项目管理团队的分工情况和管理架构、责任明确等进行评价（</w:t>
      </w:r>
      <w:r>
        <w:rPr>
          <w:rFonts w:hint="eastAsia" w:hAnsi="宋体"/>
          <w:b/>
          <w:bCs w:val="0"/>
          <w:color w:val="auto"/>
          <w:sz w:val="21"/>
          <w:lang w:val="en-US" w:eastAsia="zh-CN"/>
        </w:rPr>
        <w:t>满分5分</w:t>
      </w:r>
      <w:r>
        <w:rPr>
          <w:rFonts w:hint="eastAsia" w:hAnsi="宋体"/>
          <w:b/>
          <w:bCs w:val="0"/>
          <w:color w:val="auto"/>
          <w:sz w:val="21"/>
          <w:lang w:eastAsia="zh-CN"/>
        </w:rPr>
        <w:t xml:space="preserve">）： </w:t>
      </w:r>
    </w:p>
    <w:p w14:paraId="0864A1A8">
      <w:pPr>
        <w:pStyle w:val="10"/>
        <w:spacing w:line="360" w:lineRule="exact"/>
        <w:ind w:firstLine="420"/>
        <w:rPr>
          <w:rFonts w:hint="default" w:hAnsi="宋体"/>
          <w:bCs/>
          <w:color w:val="auto"/>
          <w:sz w:val="21"/>
          <w:lang w:val="en-US" w:eastAsia="zh-CN"/>
        </w:rPr>
      </w:pPr>
      <w:r>
        <w:rPr>
          <w:rFonts w:hint="eastAsia" w:hAnsi="宋体"/>
          <w:bCs/>
          <w:color w:val="auto"/>
          <w:sz w:val="21"/>
          <w:lang w:val="en-US" w:eastAsia="zh-CN"/>
        </w:rPr>
        <w:t>未提供或</w:t>
      </w:r>
      <w:r>
        <w:rPr>
          <w:rFonts w:hint="eastAsia" w:hAnsi="宋体"/>
          <w:b/>
          <w:bCs/>
          <w:color w:val="auto"/>
          <w:sz w:val="21"/>
          <w:lang w:val="en-US" w:eastAsia="zh-CN"/>
        </w:rPr>
        <w:t>内容未达到一档</w:t>
      </w:r>
      <w:r>
        <w:rPr>
          <w:rFonts w:hint="eastAsia" w:hAnsi="宋体"/>
          <w:bCs/>
          <w:color w:val="auto"/>
          <w:sz w:val="21"/>
          <w:lang w:val="en-US" w:eastAsia="zh-CN"/>
        </w:rPr>
        <w:t>为0分。</w:t>
      </w:r>
    </w:p>
    <w:p w14:paraId="1AD154C4">
      <w:pPr>
        <w:pStyle w:val="10"/>
        <w:spacing w:line="360" w:lineRule="exact"/>
        <w:ind w:firstLine="420"/>
        <w:rPr>
          <w:rFonts w:hint="eastAsia" w:hAnsi="宋体"/>
          <w:bCs/>
          <w:color w:val="auto"/>
          <w:sz w:val="21"/>
          <w:lang w:eastAsia="zh-CN"/>
        </w:rPr>
      </w:pPr>
      <w:r>
        <w:rPr>
          <w:rFonts w:hint="eastAsia" w:hAnsi="宋体"/>
          <w:bCs/>
          <w:color w:val="auto"/>
          <w:sz w:val="21"/>
          <w:lang w:eastAsia="zh-CN"/>
        </w:rPr>
        <w:t>一档（</w:t>
      </w:r>
      <w:r>
        <w:rPr>
          <w:rFonts w:hint="eastAsia" w:hAnsi="宋体"/>
          <w:bCs/>
          <w:color w:val="auto"/>
          <w:sz w:val="21"/>
          <w:lang w:val="en-US" w:eastAsia="zh-CN"/>
        </w:rPr>
        <w:t>2</w:t>
      </w:r>
      <w:r>
        <w:rPr>
          <w:rFonts w:hint="eastAsia" w:hAnsi="宋体"/>
          <w:bCs/>
          <w:color w:val="auto"/>
          <w:sz w:val="21"/>
          <w:lang w:eastAsia="zh-CN"/>
        </w:rPr>
        <w:t>分）：未明确项目管理团队的分工情况和管理架构、责任或项目管理团队的分工情况和管理架构、责任不切合项目服务实际；</w:t>
      </w:r>
    </w:p>
    <w:p w14:paraId="5EDEFA77">
      <w:pPr>
        <w:pStyle w:val="10"/>
        <w:spacing w:line="360" w:lineRule="exact"/>
        <w:ind w:firstLine="420"/>
        <w:rPr>
          <w:rFonts w:hint="eastAsia" w:hAnsi="宋体"/>
          <w:bCs/>
          <w:color w:val="auto"/>
          <w:sz w:val="21"/>
          <w:lang w:eastAsia="zh-CN"/>
        </w:rPr>
      </w:pPr>
      <w:r>
        <w:rPr>
          <w:rFonts w:hint="eastAsia" w:hAnsi="宋体"/>
          <w:bCs/>
          <w:color w:val="auto"/>
          <w:sz w:val="21"/>
          <w:lang w:eastAsia="zh-CN"/>
        </w:rPr>
        <w:t>二档（</w:t>
      </w:r>
      <w:r>
        <w:rPr>
          <w:rFonts w:hint="eastAsia" w:hAnsi="宋体"/>
          <w:bCs/>
          <w:color w:val="auto"/>
          <w:sz w:val="21"/>
          <w:lang w:val="en-US" w:eastAsia="zh-CN"/>
        </w:rPr>
        <w:t>3</w:t>
      </w:r>
      <w:r>
        <w:rPr>
          <w:rFonts w:hint="eastAsia" w:hAnsi="宋体"/>
          <w:bCs/>
          <w:color w:val="auto"/>
          <w:sz w:val="21"/>
          <w:lang w:eastAsia="zh-CN"/>
        </w:rPr>
        <w:t>分）：提供的项目管理团队的分工情况和管理架构、责任不够明确、完整、具体，只能简单满足招标文件需求；</w:t>
      </w:r>
    </w:p>
    <w:p w14:paraId="27B326A8">
      <w:pPr>
        <w:pStyle w:val="10"/>
        <w:spacing w:line="360" w:lineRule="exact"/>
        <w:ind w:firstLine="420"/>
        <w:rPr>
          <w:rFonts w:hint="eastAsia" w:hAnsi="宋体"/>
          <w:bCs/>
          <w:color w:val="auto"/>
          <w:sz w:val="21"/>
          <w:lang w:eastAsia="zh-CN"/>
        </w:rPr>
      </w:pPr>
      <w:r>
        <w:rPr>
          <w:rFonts w:hint="eastAsia" w:hAnsi="宋体"/>
          <w:bCs/>
          <w:color w:val="auto"/>
          <w:sz w:val="21"/>
          <w:lang w:eastAsia="zh-CN"/>
        </w:rPr>
        <w:t>三档（</w:t>
      </w:r>
      <w:r>
        <w:rPr>
          <w:rFonts w:hint="eastAsia" w:hAnsi="宋体"/>
          <w:bCs/>
          <w:color w:val="auto"/>
          <w:sz w:val="21"/>
          <w:lang w:val="en-US" w:eastAsia="zh-CN"/>
        </w:rPr>
        <w:t>5</w:t>
      </w:r>
      <w:r>
        <w:rPr>
          <w:rFonts w:hint="eastAsia" w:hAnsi="宋体"/>
          <w:bCs/>
          <w:color w:val="auto"/>
          <w:sz w:val="21"/>
          <w:lang w:eastAsia="zh-CN"/>
        </w:rPr>
        <w:t>分）：提供的项目管理团队的分工情况和管理架构、责任明确、完整、具体，能保障项目服务工作质量，并提供有针对性的管理优化措施，保障人员稳定。</w:t>
      </w:r>
    </w:p>
    <w:p w14:paraId="7A37BDB4">
      <w:pPr>
        <w:pStyle w:val="10"/>
        <w:spacing w:line="360" w:lineRule="exact"/>
        <w:ind w:firstLine="420"/>
        <w:rPr>
          <w:rFonts w:hint="eastAsia" w:ascii="宋体" w:hAnsi="宋体" w:eastAsia="宋体" w:cs="Times New Roman"/>
          <w:b/>
          <w:bCs w:val="0"/>
          <w:color w:val="auto"/>
          <w:sz w:val="21"/>
          <w:lang w:eastAsia="zh-CN"/>
        </w:rPr>
      </w:pPr>
      <w:r>
        <w:rPr>
          <w:rFonts w:hint="eastAsia" w:hAnsi="宋体" w:cs="Times New Roman"/>
          <w:b/>
          <w:bCs w:val="0"/>
          <w:color w:val="auto"/>
          <w:sz w:val="21"/>
          <w:lang w:val="en-US" w:eastAsia="zh-CN"/>
        </w:rPr>
        <w:t>②</w:t>
      </w:r>
      <w:r>
        <w:rPr>
          <w:rFonts w:hint="eastAsia" w:ascii="宋体" w:hAnsi="宋体" w:eastAsia="宋体" w:cs="Times New Roman"/>
          <w:b/>
          <w:bCs w:val="0"/>
          <w:color w:val="auto"/>
          <w:sz w:val="21"/>
          <w:lang w:eastAsia="zh-CN"/>
        </w:rPr>
        <w:t>对</w:t>
      </w:r>
      <w:r>
        <w:rPr>
          <w:rFonts w:hint="eastAsia" w:ascii="宋体" w:hAnsi="宋体" w:eastAsia="宋体" w:cs="Times New Roman"/>
          <w:b/>
          <w:bCs w:val="0"/>
          <w:color w:val="auto"/>
          <w:sz w:val="21"/>
          <w:lang w:val="en-US" w:eastAsia="zh-CN"/>
        </w:rPr>
        <w:t>投标方</w:t>
      </w:r>
      <w:r>
        <w:rPr>
          <w:rFonts w:hint="eastAsia" w:ascii="宋体" w:hAnsi="宋体" w:eastAsia="宋体" w:cs="Times New Roman"/>
          <w:b/>
          <w:bCs w:val="0"/>
          <w:color w:val="auto"/>
          <w:sz w:val="21"/>
          <w:lang w:eastAsia="zh-CN"/>
        </w:rPr>
        <w:t>提供的驻场管理经理、副经理、主管业绩、经验情况在满足需求的基础上进行评价（</w:t>
      </w:r>
      <w:r>
        <w:rPr>
          <w:rFonts w:hint="eastAsia" w:ascii="宋体" w:hAnsi="宋体" w:eastAsia="宋体" w:cs="Times New Roman"/>
          <w:b/>
          <w:bCs w:val="0"/>
          <w:color w:val="auto"/>
          <w:sz w:val="21"/>
          <w:lang w:val="en-US" w:eastAsia="zh-CN"/>
        </w:rPr>
        <w:t>满分</w:t>
      </w:r>
      <w:r>
        <w:rPr>
          <w:rFonts w:hint="eastAsia" w:hAnsi="宋体" w:cs="Times New Roman"/>
          <w:b/>
          <w:bCs w:val="0"/>
          <w:color w:val="auto"/>
          <w:sz w:val="21"/>
          <w:lang w:val="en-US" w:eastAsia="zh-CN"/>
        </w:rPr>
        <w:t>8</w:t>
      </w:r>
      <w:r>
        <w:rPr>
          <w:rFonts w:hint="eastAsia" w:ascii="宋体" w:hAnsi="宋体" w:eastAsia="宋体" w:cs="Times New Roman"/>
          <w:b/>
          <w:bCs w:val="0"/>
          <w:color w:val="auto"/>
          <w:sz w:val="21"/>
          <w:lang w:val="en-US" w:eastAsia="zh-CN"/>
        </w:rPr>
        <w:t>分</w:t>
      </w:r>
      <w:r>
        <w:rPr>
          <w:rFonts w:hint="eastAsia" w:ascii="宋体" w:hAnsi="宋体" w:eastAsia="宋体" w:cs="Times New Roman"/>
          <w:b/>
          <w:bCs w:val="0"/>
          <w:color w:val="auto"/>
          <w:sz w:val="21"/>
          <w:lang w:eastAsia="zh-CN"/>
        </w:rPr>
        <w:t xml:space="preserve">） </w:t>
      </w:r>
    </w:p>
    <w:p w14:paraId="00C00069">
      <w:pPr>
        <w:pStyle w:val="10"/>
        <w:spacing w:line="360" w:lineRule="exact"/>
        <w:ind w:firstLine="420"/>
        <w:rPr>
          <w:rFonts w:hint="eastAsia" w:ascii="宋体" w:hAnsi="宋体" w:eastAsia="宋体" w:cs="Times New Roman"/>
          <w:bCs/>
          <w:color w:val="auto"/>
          <w:sz w:val="21"/>
          <w:lang w:eastAsia="zh-CN"/>
        </w:rPr>
      </w:pPr>
      <w:r>
        <w:rPr>
          <w:rFonts w:hint="eastAsia" w:hAnsi="宋体" w:cs="Times New Roman"/>
          <w:bCs/>
          <w:color w:val="auto"/>
          <w:sz w:val="21"/>
          <w:lang w:val="en-US" w:eastAsia="zh-CN"/>
        </w:rPr>
        <w:t>a.</w:t>
      </w:r>
      <w:r>
        <w:rPr>
          <w:rFonts w:hint="eastAsia" w:ascii="宋体" w:hAnsi="宋体" w:eastAsia="宋体" w:cs="Times New Roman"/>
          <w:bCs/>
          <w:color w:val="auto"/>
          <w:sz w:val="21"/>
          <w:lang w:eastAsia="zh-CN"/>
        </w:rPr>
        <w:t>驻场管理经理，持有本科或以上学历证、护理学初级（或以上）证书、护士资格证书（或执业证书）、</w:t>
      </w:r>
      <w:r>
        <w:rPr>
          <w:rFonts w:hint="eastAsia" w:ascii="宋体" w:hAnsi="宋体" w:eastAsia="宋体" w:cs="Times New Roman"/>
          <w:bCs/>
          <w:color w:val="auto"/>
          <w:sz w:val="21"/>
          <w:lang w:val="en-US" w:eastAsia="zh-CN"/>
        </w:rPr>
        <w:t>具有3年以上的护理员管理经验</w:t>
      </w:r>
      <w:r>
        <w:rPr>
          <w:rFonts w:hint="eastAsia" w:ascii="宋体" w:hAnsi="宋体" w:eastAsia="宋体" w:cs="Times New Roman"/>
          <w:bCs/>
          <w:color w:val="auto"/>
          <w:sz w:val="21"/>
          <w:lang w:eastAsia="zh-CN"/>
        </w:rPr>
        <w:t>得2分。本项满分2分。</w:t>
      </w:r>
    </w:p>
    <w:p w14:paraId="0DD6D4D9">
      <w:pPr>
        <w:pStyle w:val="10"/>
        <w:spacing w:line="360" w:lineRule="exact"/>
        <w:ind w:firstLine="420"/>
        <w:rPr>
          <w:rFonts w:hint="eastAsia" w:ascii="宋体" w:hAnsi="宋体" w:eastAsia="宋体" w:cs="Times New Roman"/>
          <w:bCs/>
          <w:color w:val="auto"/>
          <w:sz w:val="21"/>
          <w:lang w:eastAsia="zh-CN"/>
        </w:rPr>
      </w:pPr>
      <w:r>
        <w:rPr>
          <w:rFonts w:hint="eastAsia" w:hAnsi="宋体" w:cs="Times New Roman"/>
          <w:bCs/>
          <w:color w:val="auto"/>
          <w:sz w:val="21"/>
          <w:lang w:val="en-US" w:eastAsia="zh-CN"/>
        </w:rPr>
        <w:t>b.</w:t>
      </w:r>
      <w:r>
        <w:rPr>
          <w:rFonts w:hint="eastAsia" w:ascii="宋体" w:hAnsi="宋体" w:eastAsia="宋体" w:cs="Times New Roman"/>
          <w:bCs/>
          <w:color w:val="auto"/>
          <w:sz w:val="21"/>
          <w:lang w:eastAsia="zh-CN"/>
        </w:rPr>
        <w:t>驻场管理副经理或主管，持有</w:t>
      </w:r>
      <w:r>
        <w:rPr>
          <w:rFonts w:hint="eastAsia" w:hAnsi="宋体" w:cs="Times New Roman"/>
          <w:bCs/>
          <w:color w:val="auto"/>
          <w:sz w:val="21"/>
          <w:lang w:val="en-US" w:eastAsia="zh-CN"/>
        </w:rPr>
        <w:t>专</w:t>
      </w:r>
      <w:r>
        <w:rPr>
          <w:rFonts w:hint="eastAsia" w:ascii="宋体" w:hAnsi="宋体" w:eastAsia="宋体" w:cs="Times New Roman"/>
          <w:bCs/>
          <w:color w:val="auto"/>
          <w:sz w:val="21"/>
          <w:lang w:eastAsia="zh-CN"/>
        </w:rPr>
        <w:t>科（或以上）学历证、护理学初级（或以上）证书、护士资格证书（或执业证书）、</w:t>
      </w:r>
      <w:r>
        <w:rPr>
          <w:rFonts w:hint="eastAsia" w:ascii="宋体" w:hAnsi="宋体" w:eastAsia="宋体" w:cs="Times New Roman"/>
          <w:bCs/>
          <w:color w:val="auto"/>
          <w:sz w:val="21"/>
          <w:lang w:val="en-US" w:eastAsia="zh-CN"/>
        </w:rPr>
        <w:t>具有</w:t>
      </w:r>
      <w:r>
        <w:rPr>
          <w:rFonts w:hint="eastAsia" w:hAnsi="宋体" w:cs="Times New Roman"/>
          <w:bCs/>
          <w:color w:val="auto"/>
          <w:sz w:val="21"/>
          <w:lang w:val="en-US" w:eastAsia="zh-CN"/>
        </w:rPr>
        <w:t>1</w:t>
      </w:r>
      <w:r>
        <w:rPr>
          <w:rFonts w:hint="eastAsia" w:ascii="宋体" w:hAnsi="宋体" w:eastAsia="宋体" w:cs="Times New Roman"/>
          <w:bCs/>
          <w:color w:val="auto"/>
          <w:sz w:val="21"/>
          <w:lang w:val="en-US" w:eastAsia="zh-CN"/>
        </w:rPr>
        <w:t>年以上的护理员管理经验</w:t>
      </w:r>
      <w:r>
        <w:rPr>
          <w:rFonts w:hint="eastAsia" w:ascii="宋体" w:hAnsi="宋体" w:eastAsia="宋体" w:cs="Times New Roman"/>
          <w:bCs/>
          <w:color w:val="auto"/>
          <w:sz w:val="21"/>
          <w:lang w:eastAsia="zh-CN"/>
        </w:rPr>
        <w:t>得1分。满分1分。</w:t>
      </w:r>
    </w:p>
    <w:p w14:paraId="5B3B4F2F">
      <w:pPr>
        <w:pStyle w:val="10"/>
        <w:spacing w:line="360" w:lineRule="exact"/>
        <w:ind w:firstLine="420"/>
        <w:rPr>
          <w:rFonts w:hint="default" w:ascii="宋体" w:hAnsi="宋体" w:eastAsia="宋体" w:cs="Times New Roman"/>
          <w:bCs/>
          <w:color w:val="auto"/>
          <w:sz w:val="21"/>
          <w:lang w:val="en-US" w:eastAsia="zh-CN"/>
        </w:rPr>
      </w:pPr>
      <w:r>
        <w:rPr>
          <w:rFonts w:hint="eastAsia" w:hAnsi="宋体" w:cs="Times New Roman"/>
          <w:bCs/>
          <w:color w:val="auto"/>
          <w:sz w:val="21"/>
          <w:lang w:val="en-US" w:eastAsia="zh-CN"/>
        </w:rPr>
        <w:t>C.</w:t>
      </w:r>
      <w:r>
        <w:rPr>
          <w:rFonts w:hint="eastAsia" w:ascii="宋体" w:hAnsi="宋体" w:eastAsia="宋体" w:cs="Times New Roman"/>
          <w:bCs/>
          <w:color w:val="auto"/>
          <w:sz w:val="21"/>
          <w:lang w:val="en-US" w:eastAsia="zh-CN"/>
        </w:rPr>
        <w:t>拟投入本项目的人员，持有心理咨询师</w:t>
      </w:r>
      <w:r>
        <w:rPr>
          <w:rFonts w:hint="eastAsia" w:hAnsi="宋体" w:cs="Times New Roman"/>
          <w:bCs/>
          <w:color w:val="auto"/>
          <w:sz w:val="21"/>
          <w:lang w:val="en-US" w:eastAsia="zh-CN"/>
        </w:rPr>
        <w:t>得1分</w:t>
      </w:r>
      <w:r>
        <w:rPr>
          <w:rFonts w:hint="eastAsia" w:ascii="宋体" w:hAnsi="宋体" w:eastAsia="宋体" w:cs="Times New Roman"/>
          <w:bCs/>
          <w:color w:val="auto"/>
          <w:sz w:val="21"/>
          <w:lang w:val="en-US" w:eastAsia="zh-CN"/>
        </w:rPr>
        <w:t>、助理社会工作师的得1分</w:t>
      </w:r>
      <w:r>
        <w:rPr>
          <w:rFonts w:hint="eastAsia" w:hAnsi="宋体" w:cs="Times New Roman"/>
          <w:bCs/>
          <w:color w:val="auto"/>
          <w:sz w:val="21"/>
          <w:lang w:val="en-US" w:eastAsia="zh-CN"/>
        </w:rPr>
        <w:t>、</w:t>
      </w:r>
      <w:r>
        <w:rPr>
          <w:rFonts w:hint="eastAsia" w:ascii="宋体" w:hAnsi="宋体" w:eastAsia="宋体" w:cs="Times New Roman"/>
          <w:bCs/>
          <w:color w:val="auto"/>
          <w:sz w:val="21"/>
          <w:lang w:val="en-US" w:eastAsia="zh-CN"/>
        </w:rPr>
        <w:t>老年人能力等级评估员证书</w:t>
      </w:r>
      <w:r>
        <w:rPr>
          <w:rFonts w:hint="eastAsia" w:hAnsi="宋体" w:cs="Times New Roman"/>
          <w:bCs/>
          <w:color w:val="auto"/>
          <w:sz w:val="21"/>
          <w:lang w:val="en-US" w:eastAsia="zh-CN"/>
        </w:rPr>
        <w:t>得1分、康复治疗师资格证得1分、养老护理员等级证书</w:t>
      </w:r>
      <w:r>
        <w:rPr>
          <w:rFonts w:hint="eastAsia" w:ascii="宋体" w:hAnsi="宋体" w:eastAsia="宋体" w:cs="Times New Roman"/>
          <w:bCs/>
          <w:color w:val="auto"/>
          <w:sz w:val="21"/>
          <w:lang w:val="en-US" w:eastAsia="zh-CN"/>
        </w:rPr>
        <w:t>得1分；满分</w:t>
      </w:r>
      <w:r>
        <w:rPr>
          <w:rFonts w:hint="eastAsia" w:hAnsi="宋体" w:cs="Times New Roman"/>
          <w:bCs/>
          <w:color w:val="auto"/>
          <w:sz w:val="21"/>
          <w:lang w:val="en-US" w:eastAsia="zh-CN"/>
        </w:rPr>
        <w:t>5</w:t>
      </w:r>
      <w:r>
        <w:rPr>
          <w:rFonts w:hint="eastAsia" w:ascii="宋体" w:hAnsi="宋体" w:eastAsia="宋体" w:cs="Times New Roman"/>
          <w:bCs/>
          <w:color w:val="auto"/>
          <w:sz w:val="21"/>
          <w:lang w:val="en-US" w:eastAsia="zh-CN"/>
        </w:rPr>
        <w:t>分。</w:t>
      </w:r>
    </w:p>
    <w:p w14:paraId="22FE4ABA">
      <w:pPr>
        <w:pStyle w:val="10"/>
        <w:spacing w:line="360" w:lineRule="exact"/>
        <w:ind w:firstLine="420"/>
        <w:rPr>
          <w:rFonts w:hint="eastAsia" w:ascii="宋体" w:hAnsi="宋体" w:eastAsia="宋体" w:cs="Times New Roman"/>
          <w:bCs/>
          <w:color w:val="auto"/>
          <w:sz w:val="21"/>
          <w:lang w:eastAsia="zh-CN"/>
        </w:rPr>
      </w:pPr>
      <w:r>
        <w:rPr>
          <w:rFonts w:hint="eastAsia" w:ascii="宋体" w:hAnsi="宋体" w:eastAsia="宋体" w:cs="Times New Roman"/>
          <w:bCs/>
          <w:color w:val="auto"/>
          <w:sz w:val="21"/>
          <w:lang w:eastAsia="zh-CN"/>
        </w:rPr>
        <w:t>注：</w:t>
      </w:r>
      <w:r>
        <w:rPr>
          <w:rFonts w:hint="eastAsia" w:hAnsi="宋体" w:cs="Times New Roman"/>
          <w:bCs/>
          <w:color w:val="auto"/>
          <w:sz w:val="21"/>
          <w:lang w:val="en-US" w:eastAsia="zh-CN"/>
        </w:rPr>
        <w:t>a</w:t>
      </w:r>
      <w:r>
        <w:rPr>
          <w:rFonts w:hint="eastAsia" w:ascii="宋体" w:hAnsi="宋体" w:eastAsia="宋体" w:cs="Times New Roman"/>
          <w:bCs/>
          <w:color w:val="auto"/>
          <w:sz w:val="21"/>
          <w:lang w:eastAsia="zh-CN"/>
        </w:rPr>
        <w:t>、</w:t>
      </w:r>
      <w:r>
        <w:rPr>
          <w:rFonts w:hint="eastAsia" w:hAnsi="宋体" w:cs="Times New Roman"/>
          <w:bCs/>
          <w:color w:val="auto"/>
          <w:sz w:val="21"/>
          <w:lang w:val="en-US" w:eastAsia="zh-CN"/>
        </w:rPr>
        <w:t>b</w:t>
      </w:r>
      <w:r>
        <w:rPr>
          <w:rFonts w:hint="eastAsia" w:ascii="宋体" w:hAnsi="宋体" w:eastAsia="宋体" w:cs="Times New Roman"/>
          <w:bCs/>
          <w:color w:val="auto"/>
          <w:sz w:val="21"/>
          <w:lang w:eastAsia="zh-CN"/>
        </w:rPr>
        <w:t>项若为同一人的，不予重复计分。投标文件提供人员相关证书的复印件并加盖公章，否则不予计分。</w:t>
      </w:r>
    </w:p>
    <w:p w14:paraId="170BFC29">
      <w:pPr>
        <w:pStyle w:val="10"/>
        <w:numPr>
          <w:ilvl w:val="0"/>
          <w:numId w:val="2"/>
        </w:numPr>
        <w:spacing w:line="360" w:lineRule="exact"/>
        <w:ind w:firstLine="420"/>
        <w:rPr>
          <w:rFonts w:hint="eastAsia" w:hAnsi="宋体"/>
          <w:b/>
          <w:bCs/>
          <w:color w:val="auto"/>
          <w:sz w:val="21"/>
          <w:lang w:eastAsia="zh-CN"/>
        </w:rPr>
      </w:pPr>
      <w:r>
        <w:rPr>
          <w:rFonts w:hint="eastAsia" w:hAnsi="宋体"/>
          <w:b/>
          <w:bCs/>
          <w:color w:val="auto"/>
          <w:sz w:val="21"/>
          <w:lang w:val="en-US" w:eastAsia="zh-CN"/>
        </w:rPr>
        <w:t>智能化信息管理平台</w:t>
      </w:r>
      <w:r>
        <w:rPr>
          <w:rFonts w:hint="eastAsia" w:hAnsi="宋体"/>
          <w:b/>
          <w:bCs/>
          <w:color w:val="auto"/>
          <w:sz w:val="21"/>
          <w:lang w:eastAsia="zh-CN"/>
        </w:rPr>
        <w:t>（</w:t>
      </w:r>
      <w:r>
        <w:rPr>
          <w:rFonts w:hint="eastAsia" w:hAnsi="宋体"/>
          <w:b/>
          <w:bCs/>
          <w:color w:val="auto"/>
          <w:sz w:val="21"/>
          <w:lang w:val="en-US" w:eastAsia="zh-CN"/>
        </w:rPr>
        <w:t>满分10</w:t>
      </w:r>
      <w:r>
        <w:rPr>
          <w:rFonts w:hint="eastAsia" w:hAnsi="宋体"/>
          <w:b/>
          <w:bCs/>
          <w:color w:val="auto"/>
          <w:sz w:val="21"/>
          <w:lang w:eastAsia="zh-CN"/>
        </w:rPr>
        <w:t>分）</w:t>
      </w:r>
    </w:p>
    <w:p w14:paraId="706E3229">
      <w:pPr>
        <w:pStyle w:val="10"/>
        <w:widowControl w:val="0"/>
        <w:numPr>
          <w:ilvl w:val="0"/>
          <w:numId w:val="0"/>
        </w:numPr>
        <w:spacing w:line="360" w:lineRule="exact"/>
        <w:jc w:val="both"/>
        <w:rPr>
          <w:rFonts w:hint="eastAsia" w:ascii="宋体" w:hAnsi="宋体" w:eastAsia="宋体" w:cs="Times New Roman"/>
          <w:color w:val="auto"/>
          <w:kern w:val="2"/>
          <w:sz w:val="21"/>
          <w:szCs w:val="21"/>
          <w:lang w:val="en-US" w:eastAsia="zh-CN" w:bidi="ar-SA"/>
        </w:rPr>
      </w:pPr>
      <w:r>
        <w:rPr>
          <w:rFonts w:hint="eastAsia" w:hAnsi="宋体"/>
          <w:b/>
          <w:bCs/>
          <w:color w:val="auto"/>
          <w:sz w:val="21"/>
          <w:lang w:val="en-US" w:eastAsia="zh-CN"/>
        </w:rPr>
        <w:t xml:space="preserve">     </w:t>
      </w:r>
      <w:r>
        <w:rPr>
          <w:rFonts w:hint="eastAsia" w:ascii="宋体" w:hAnsi="宋体" w:eastAsia="宋体" w:cs="Times New Roman"/>
          <w:color w:val="auto"/>
          <w:kern w:val="2"/>
          <w:sz w:val="21"/>
          <w:szCs w:val="21"/>
          <w:lang w:val="en-US" w:eastAsia="zh-CN" w:bidi="ar-SA"/>
        </w:rPr>
        <w:t>投标方未提供或内容未达到一档为0分。</w:t>
      </w:r>
    </w:p>
    <w:p w14:paraId="18E2D824">
      <w:pPr>
        <w:spacing w:line="360" w:lineRule="exact"/>
        <w:ind w:firstLine="420" w:firstLineChars="20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 xml:space="preserve"> 一档（5分）：提供公司的信息系统管理方案及流程，可满足订单接收、确认、知情同意告知、开具发票等功能。</w:t>
      </w:r>
    </w:p>
    <w:p w14:paraId="709EA5C2">
      <w:pPr>
        <w:spacing w:line="360" w:lineRule="exact"/>
        <w:ind w:firstLine="420" w:firstLineChars="20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二档（8分）：提供公司的信息系统管理方案及流程，有专门的陪护管理模块，可满足医疗护理员人员信息公示、订单接收与提醒、筛选与分类、需求沟通、现场确认、知情同意告知、服务流程管理（医疗护理员匹配-医疗护理员接单-服务准备-服务执行-争议处理-结束订单）、结算流程、满意度评价等功能，。</w:t>
      </w:r>
    </w:p>
    <w:p w14:paraId="65A1D05D">
      <w:pPr>
        <w:spacing w:line="360" w:lineRule="exact"/>
        <w:ind w:firstLine="420" w:firstLineChars="20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三档（10分）：投标人自主开发的智能化管理平台，</w:t>
      </w:r>
      <w:r>
        <w:rPr>
          <w:rFonts w:hint="eastAsia" w:ascii="宋体" w:hAnsi="宋体" w:eastAsia="宋体" w:cs="Times New Roman"/>
          <w:color w:val="auto"/>
          <w:kern w:val="2"/>
          <w:sz w:val="21"/>
          <w:szCs w:val="21"/>
          <w:rtl w:val="0"/>
          <w:lang w:val="en-US" w:eastAsia="zh-CN" w:bidi="ar-SA"/>
        </w:rPr>
        <w:t>获得国家版权局颁发的计算机软件著作权登记证书，有陪护监控服务管理系统，具有</w:t>
      </w:r>
      <w:r>
        <w:rPr>
          <w:rFonts w:hint="eastAsia" w:ascii="宋体" w:hAnsi="宋体" w:eastAsia="宋体" w:cs="Times New Roman"/>
          <w:color w:val="auto"/>
          <w:kern w:val="2"/>
          <w:sz w:val="21"/>
          <w:szCs w:val="21"/>
          <w:lang w:val="en-US" w:eastAsia="zh-CN" w:bidi="ar-SA"/>
        </w:rPr>
        <w:t>医疗护理员人员信息公示、订单接收与提醒、筛选与分类、需求沟通、现场确认、知情同意告知、服务流程管理（医疗护理员匹配-医疗护理员接单-服务准备-服务执行-争议处理-结束订单）、结算流程、满意度评价等功能。</w:t>
      </w:r>
    </w:p>
    <w:p w14:paraId="1567BE94">
      <w:pPr>
        <w:spacing w:line="360" w:lineRule="exact"/>
        <w:ind w:firstLine="422" w:firstLineChars="200"/>
        <w:rPr>
          <w:rFonts w:hint="eastAsia" w:ascii="宋体" w:hAnsi="宋体" w:eastAsia="宋体" w:cs="Times New Roman"/>
          <w:b/>
          <w:bCs/>
          <w:color w:val="auto"/>
          <w:kern w:val="2"/>
          <w:sz w:val="21"/>
          <w:szCs w:val="21"/>
          <w:lang w:val="en-US" w:eastAsia="zh-CN" w:bidi="ar-SA"/>
        </w:rPr>
      </w:pPr>
      <w:r>
        <w:rPr>
          <w:rFonts w:hint="eastAsia" w:ascii="宋体" w:hAnsi="宋体" w:eastAsia="宋体" w:cs="Times New Roman"/>
          <w:b/>
          <w:bCs/>
          <w:color w:val="auto"/>
          <w:kern w:val="2"/>
          <w:sz w:val="21"/>
          <w:szCs w:val="21"/>
          <w:lang w:val="en-US" w:eastAsia="zh-CN" w:bidi="ar-SA"/>
        </w:rPr>
        <w:t>（6）突发事件的应急预案及应对措施分（满分10分）</w:t>
      </w:r>
    </w:p>
    <w:p w14:paraId="4D94FD6D">
      <w:pPr>
        <w:spacing w:line="360" w:lineRule="exact"/>
        <w:ind w:firstLine="420" w:firstLineChars="20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根据投标人所提供的方案进行评分，不提供为0分；</w:t>
      </w:r>
    </w:p>
    <w:p w14:paraId="19F49E6B">
      <w:pPr>
        <w:spacing w:line="360" w:lineRule="exact"/>
        <w:ind w:firstLine="420" w:firstLineChars="20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一档（5分）：提供突发事件的应急预案及应对措施。</w:t>
      </w:r>
    </w:p>
    <w:p w14:paraId="1D15A004">
      <w:pPr>
        <w:spacing w:line="360" w:lineRule="exact"/>
        <w:ind w:firstLine="420" w:firstLineChars="20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二档（7分）：提供突发事件的应急预案及应对措施，包含发生投诉、意外事件、院内感染等的应急预案与措施，提供至少</w:t>
      </w:r>
      <w:r>
        <w:rPr>
          <w:rFonts w:hint="eastAsia" w:ascii="宋体" w:hAnsi="宋体" w:cs="Times New Roman"/>
          <w:color w:val="auto"/>
          <w:kern w:val="2"/>
          <w:sz w:val="21"/>
          <w:szCs w:val="21"/>
          <w:lang w:val="en-US" w:eastAsia="zh-CN" w:bidi="ar-SA"/>
        </w:rPr>
        <w:t>一份突发事件或意外事件的真实处置资料</w:t>
      </w:r>
      <w:r>
        <w:rPr>
          <w:rFonts w:hint="eastAsia" w:ascii="宋体" w:hAnsi="宋体" w:eastAsia="宋体" w:cs="Times New Roman"/>
          <w:color w:val="auto"/>
          <w:kern w:val="2"/>
          <w:sz w:val="21"/>
          <w:szCs w:val="21"/>
          <w:lang w:val="en-US" w:eastAsia="zh-CN" w:bidi="ar-SA"/>
        </w:rPr>
        <w:t>。</w:t>
      </w:r>
    </w:p>
    <w:p w14:paraId="4EBA033C">
      <w:pPr>
        <w:spacing w:line="360" w:lineRule="exact"/>
        <w:ind w:firstLine="420" w:firstLineChars="20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三档（10分）：提供纠纷防范化解和处置机制、突发事件的应急预案及应对措施，包含发生投诉、纠纷、意外事件、院内感染、其他应急事件等的应急预案与措施。建立投诉渠道，并承诺“接到采购人处理问题通知后在0.5小时内到达现场，一般问题应在1小时内解决，重大问题或其它无法迅速解决的问题应在12小时内解决”，提供至少</w:t>
      </w:r>
      <w:r>
        <w:rPr>
          <w:rFonts w:hint="eastAsia" w:ascii="宋体" w:hAnsi="宋体" w:cs="Times New Roman"/>
          <w:color w:val="auto"/>
          <w:kern w:val="2"/>
          <w:sz w:val="21"/>
          <w:szCs w:val="21"/>
          <w:lang w:val="en-US" w:eastAsia="zh-CN" w:bidi="ar-SA"/>
        </w:rPr>
        <w:t>一份突发事件或意外事件的真实处置资料</w:t>
      </w:r>
      <w:r>
        <w:rPr>
          <w:rFonts w:hint="eastAsia" w:ascii="宋体" w:hAnsi="宋体" w:eastAsia="宋体" w:cs="Times New Roman"/>
          <w:color w:val="auto"/>
          <w:kern w:val="2"/>
          <w:sz w:val="21"/>
          <w:szCs w:val="21"/>
          <w:lang w:val="en-US" w:eastAsia="zh-CN" w:bidi="ar-SA"/>
        </w:rPr>
        <w:t>。</w:t>
      </w:r>
    </w:p>
    <w:p w14:paraId="6365FF8D">
      <w:pPr>
        <w:pStyle w:val="10"/>
        <w:spacing w:line="360" w:lineRule="exact"/>
        <w:ind w:firstLine="420"/>
        <w:rPr>
          <w:rFonts w:hAnsi="宋体"/>
          <w:b/>
          <w:bCs/>
          <w:color w:val="auto"/>
          <w:sz w:val="21"/>
        </w:rPr>
      </w:pPr>
      <w:r>
        <w:rPr>
          <w:rFonts w:hint="eastAsia" w:hAnsi="宋体"/>
          <w:b/>
          <w:bCs/>
          <w:color w:val="auto"/>
          <w:sz w:val="21"/>
          <w:lang w:val="en-US" w:eastAsia="zh-CN"/>
        </w:rPr>
        <w:t>三、</w:t>
      </w:r>
      <w:r>
        <w:rPr>
          <w:rFonts w:hint="eastAsia" w:hAnsi="宋体"/>
          <w:b/>
          <w:bCs/>
          <w:color w:val="auto"/>
          <w:sz w:val="21"/>
          <w:lang w:eastAsia="zh-CN"/>
        </w:rPr>
        <w:t>商务分</w:t>
      </w:r>
      <w:r>
        <w:rPr>
          <w:rFonts w:hint="eastAsia" w:hAnsi="宋体"/>
          <w:b/>
          <w:bCs/>
          <w:color w:val="auto"/>
          <w:sz w:val="21"/>
        </w:rPr>
        <w:t>……………………………………………………………………………………</w:t>
      </w:r>
      <w:r>
        <w:rPr>
          <w:rFonts w:hint="eastAsia" w:hAnsi="宋体"/>
          <w:b/>
          <w:bCs/>
          <w:color w:val="auto"/>
          <w:sz w:val="21"/>
          <w:lang w:val="en-US" w:eastAsia="zh-CN"/>
        </w:rPr>
        <w:t>10</w:t>
      </w:r>
      <w:r>
        <w:rPr>
          <w:rFonts w:hint="eastAsia" w:hAnsi="宋体"/>
          <w:b/>
          <w:bCs/>
          <w:color w:val="auto"/>
          <w:sz w:val="21"/>
        </w:rPr>
        <w:t>分</w:t>
      </w:r>
    </w:p>
    <w:p w14:paraId="1CFAC8A3">
      <w:pPr>
        <w:pStyle w:val="10"/>
        <w:spacing w:line="360" w:lineRule="exact"/>
        <w:ind w:firstLine="42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（1）投标方自202</w:t>
      </w:r>
      <w:r>
        <w:rPr>
          <w:rFonts w:hint="eastAsia" w:hAnsi="宋体" w:cs="Times New Roman"/>
          <w:color w:val="auto"/>
          <w:kern w:val="2"/>
          <w:sz w:val="21"/>
          <w:szCs w:val="21"/>
          <w:lang w:val="en-US" w:eastAsia="zh-CN" w:bidi="ar-SA"/>
        </w:rPr>
        <w:t>3</w:t>
      </w:r>
      <w:r>
        <w:rPr>
          <w:rFonts w:hint="eastAsia" w:ascii="宋体" w:hAnsi="宋体" w:eastAsia="宋体" w:cs="Times New Roman"/>
          <w:color w:val="auto"/>
          <w:kern w:val="2"/>
          <w:sz w:val="21"/>
          <w:szCs w:val="21"/>
          <w:lang w:val="en-US" w:eastAsia="zh-CN" w:bidi="ar-SA"/>
        </w:rPr>
        <w:t>年1月1日以来，投标人具有医院同类项目业绩（护理员/护工业务）服务内容合同业绩的【以中标/成交通知书</w:t>
      </w:r>
      <w:r>
        <w:rPr>
          <w:rFonts w:hint="eastAsia" w:hAnsi="宋体" w:cs="Times New Roman"/>
          <w:color w:val="auto"/>
          <w:kern w:val="2"/>
          <w:sz w:val="21"/>
          <w:szCs w:val="21"/>
          <w:lang w:val="en-US" w:eastAsia="zh-CN" w:bidi="ar-SA"/>
        </w:rPr>
        <w:t>/成交公告网站截图</w:t>
      </w:r>
      <w:r>
        <w:rPr>
          <w:rFonts w:hint="eastAsia" w:ascii="宋体" w:hAnsi="宋体" w:eastAsia="宋体" w:cs="Times New Roman"/>
          <w:color w:val="auto"/>
          <w:kern w:val="2"/>
          <w:sz w:val="21"/>
          <w:szCs w:val="21"/>
          <w:lang w:val="en-US" w:eastAsia="zh-CN" w:bidi="ar-SA"/>
        </w:rPr>
        <w:t>或合同复印件为准，提供业主（即采购单位）名称、详细地址、联系电话、联系人、服务内容等（格式自拟）】，每项得1分，满分8分；</w:t>
      </w:r>
    </w:p>
    <w:p w14:paraId="1E3E91A2">
      <w:pPr>
        <w:pStyle w:val="10"/>
        <w:spacing w:line="360" w:lineRule="exact"/>
        <w:ind w:firstLine="42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（2）投标方获得在有效期内的 ISO9001 质量管理体系、ISO45001 职业健康安全管理体系、ISO14001 环境管理体系、GB/T39604社会责任管理体系认证、GB/T31950诚信管理体系认证、</w:t>
      </w:r>
      <w:bookmarkStart w:id="3" w:name="OLE_LINK2"/>
      <w:r>
        <w:rPr>
          <w:rFonts w:hint="eastAsia" w:ascii="宋体" w:hAnsi="宋体" w:eastAsia="宋体" w:cs="Times New Roman"/>
          <w:color w:val="auto"/>
          <w:kern w:val="2"/>
          <w:sz w:val="21"/>
          <w:szCs w:val="21"/>
          <w:lang w:val="en-US" w:eastAsia="zh-CN" w:bidi="ar-SA"/>
        </w:rPr>
        <w:t>GB/T15496标准化等级认证</w:t>
      </w:r>
      <w:bookmarkEnd w:id="3"/>
      <w:r>
        <w:rPr>
          <w:rFonts w:hint="eastAsia" w:ascii="宋体" w:hAnsi="宋体" w:eastAsia="宋体" w:cs="Times New Roman"/>
          <w:color w:val="auto"/>
          <w:kern w:val="2"/>
          <w:sz w:val="21"/>
          <w:szCs w:val="21"/>
          <w:lang w:val="en-US" w:eastAsia="zh-CN" w:bidi="ar-SA"/>
        </w:rPr>
        <w:t>、合规管理体系认证证书、客户投诉管理体系认证证书；每通过1项得0.5分，满分2分（投标文件中提供相关有效证明材料原件扫描件并加盖供应商电子公章，不提供不得分）。</w:t>
      </w:r>
    </w:p>
    <w:p w14:paraId="7BFC24B9">
      <w:pPr>
        <w:pStyle w:val="10"/>
        <w:spacing w:line="400" w:lineRule="exact"/>
        <w:ind w:firstLine="420"/>
        <w:rPr>
          <w:rFonts w:hint="eastAsia" w:ascii="宋体" w:hAnsi="宋体" w:eastAsia="宋体" w:cs="Times New Roman"/>
          <w:b/>
          <w:bCs/>
          <w:sz w:val="21"/>
          <w:highlight w:val="none"/>
          <w:lang w:val="en-US" w:eastAsia="zh-CN"/>
        </w:rPr>
      </w:pPr>
    </w:p>
    <w:p w14:paraId="27A0C523">
      <w:pPr>
        <w:rPr>
          <w:color w:val="auto"/>
        </w:rPr>
      </w:pPr>
    </w:p>
    <w:p w14:paraId="15958616">
      <w:pPr>
        <w:spacing w:line="440" w:lineRule="atLeast"/>
        <w:jc w:val="both"/>
        <w:rPr>
          <w:rStyle w:val="36"/>
          <w:rFonts w:ascii="宋体" w:hAnsi="宋体"/>
          <w:b/>
          <w:color w:val="auto"/>
          <w:sz w:val="32"/>
          <w:szCs w:val="32"/>
        </w:rPr>
      </w:pPr>
    </w:p>
    <w:p w14:paraId="3DFD7214">
      <w:pPr>
        <w:spacing w:line="440" w:lineRule="atLeast"/>
        <w:jc w:val="both"/>
        <w:rPr>
          <w:rStyle w:val="36"/>
          <w:rFonts w:ascii="宋体" w:hAnsi="宋体"/>
          <w:b/>
          <w:color w:val="auto"/>
          <w:sz w:val="32"/>
          <w:szCs w:val="32"/>
        </w:rPr>
      </w:pPr>
    </w:p>
    <w:p w14:paraId="43ED5B14">
      <w:pPr>
        <w:spacing w:line="360" w:lineRule="exact"/>
        <w:rPr>
          <w:rStyle w:val="36"/>
          <w:rFonts w:hint="eastAsia" w:ascii="宋体" w:hAnsi="宋体"/>
          <w:b/>
          <w:color w:val="auto"/>
          <w:sz w:val="32"/>
          <w:szCs w:val="32"/>
          <w:lang w:val="en-US" w:eastAsia="zh-CN"/>
        </w:rPr>
      </w:pPr>
    </w:p>
    <w:p w14:paraId="55324502">
      <w:pPr>
        <w:spacing w:line="360" w:lineRule="exact"/>
        <w:rPr>
          <w:rStyle w:val="36"/>
          <w:rFonts w:hint="eastAsia" w:ascii="宋体" w:hAnsi="宋体"/>
          <w:b/>
          <w:color w:val="auto"/>
          <w:sz w:val="32"/>
          <w:szCs w:val="32"/>
          <w:lang w:val="en-US" w:eastAsia="zh-CN"/>
        </w:rPr>
      </w:pPr>
    </w:p>
    <w:p w14:paraId="33A84053">
      <w:pPr>
        <w:rPr>
          <w:rStyle w:val="36"/>
          <w:rFonts w:hint="eastAsia" w:ascii="宋体" w:hAnsi="宋体"/>
          <w:b/>
          <w:color w:val="auto"/>
          <w:sz w:val="32"/>
          <w:szCs w:val="32"/>
          <w:lang w:val="en-US" w:eastAsia="zh-CN"/>
        </w:rPr>
      </w:pPr>
    </w:p>
    <w:p w14:paraId="6CE0889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bCs/>
          <w:color w:val="000000"/>
          <w:sz w:val="36"/>
          <w:szCs w:val="36"/>
        </w:rPr>
      </w:pPr>
      <w:r>
        <w:rPr>
          <w:rFonts w:hint="eastAsia" w:ascii="黑体" w:hAnsi="黑体" w:eastAsia="黑体" w:cs="黑体"/>
          <w:b/>
          <w:bCs/>
          <w:color w:val="000000"/>
          <w:sz w:val="36"/>
          <w:szCs w:val="36"/>
        </w:rPr>
        <w:t>附件</w:t>
      </w:r>
      <w:r>
        <w:rPr>
          <w:rFonts w:hint="eastAsia" w:ascii="黑体" w:hAnsi="黑体" w:eastAsia="黑体" w:cs="黑体"/>
          <w:b/>
          <w:bCs/>
          <w:color w:val="000000"/>
          <w:sz w:val="36"/>
          <w:szCs w:val="36"/>
          <w:lang w:val="en-US" w:eastAsia="zh-CN"/>
        </w:rPr>
        <w:t>3</w:t>
      </w:r>
      <w:r>
        <w:rPr>
          <w:rFonts w:hint="eastAsia" w:ascii="黑体" w:hAnsi="黑体" w:eastAsia="黑体" w:cs="黑体"/>
          <w:b/>
          <w:bCs/>
          <w:color w:val="000000"/>
          <w:sz w:val="36"/>
          <w:szCs w:val="36"/>
        </w:rPr>
        <w:t>：</w:t>
      </w:r>
      <w:r>
        <w:rPr>
          <w:rFonts w:hint="eastAsia" w:ascii="黑体" w:hAnsi="黑体" w:eastAsia="黑体" w:cs="黑体"/>
          <w:b/>
          <w:bCs/>
          <w:color w:val="000000"/>
          <w:sz w:val="36"/>
          <w:szCs w:val="36"/>
          <w:lang w:val="en-US" w:eastAsia="zh-CN"/>
        </w:rPr>
        <w:t>桂林市中西医结合</w:t>
      </w:r>
      <w:r>
        <w:rPr>
          <w:rFonts w:hint="eastAsia" w:ascii="黑体" w:hAnsi="黑体" w:eastAsia="黑体" w:cs="黑体"/>
          <w:b/>
          <w:bCs/>
          <w:color w:val="000000"/>
          <w:sz w:val="36"/>
          <w:szCs w:val="36"/>
        </w:rPr>
        <w:t>医院</w:t>
      </w:r>
    </w:p>
    <w:p w14:paraId="7F874B0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bCs/>
          <w:color w:val="000000"/>
          <w:sz w:val="36"/>
          <w:szCs w:val="36"/>
        </w:rPr>
      </w:pPr>
      <w:r>
        <w:rPr>
          <w:rFonts w:hint="eastAsia" w:ascii="黑体" w:hAnsi="黑体" w:eastAsia="黑体" w:cs="黑体"/>
          <w:b/>
          <w:bCs/>
          <w:color w:val="000000"/>
          <w:sz w:val="36"/>
          <w:szCs w:val="36"/>
        </w:rPr>
        <w:t>医疗护理员服务质量考核标准</w:t>
      </w:r>
    </w:p>
    <w:p w14:paraId="7831831D">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ascii="仿宋" w:hAnsi="仿宋" w:eastAsia="仿宋" w:cs="仿宋"/>
          <w:b/>
          <w:bCs/>
          <w:color w:val="000000"/>
          <w:sz w:val="30"/>
          <w:szCs w:val="30"/>
        </w:rPr>
      </w:pPr>
    </w:p>
    <w:p w14:paraId="7B24899A">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ascii="仿宋" w:hAnsi="仿宋" w:eastAsia="仿宋" w:cs="仿宋"/>
          <w:b/>
          <w:bCs/>
          <w:color w:val="000000"/>
          <w:sz w:val="30"/>
          <w:szCs w:val="30"/>
        </w:rPr>
      </w:pPr>
      <w:r>
        <w:rPr>
          <w:rFonts w:ascii="仿宋" w:hAnsi="仿宋" w:eastAsia="仿宋" w:cs="仿宋"/>
          <w:b/>
          <w:bCs/>
          <w:color w:val="000000"/>
          <w:sz w:val="30"/>
          <w:szCs w:val="30"/>
        </w:rPr>
        <w:t xml:space="preserve">患者床号： </w:t>
      </w:r>
      <w:r>
        <w:rPr>
          <w:rFonts w:hint="eastAsia" w:ascii="仿宋" w:hAnsi="仿宋" w:eastAsia="仿宋" w:cs="仿宋"/>
          <w:b/>
          <w:bCs/>
          <w:color w:val="000000"/>
          <w:sz w:val="30"/>
          <w:szCs w:val="30"/>
          <w:lang w:val="en-US" w:eastAsia="zh-CN"/>
        </w:rPr>
        <w:t xml:space="preserve">              </w:t>
      </w:r>
      <w:r>
        <w:rPr>
          <w:rFonts w:ascii="仿宋" w:hAnsi="仿宋" w:eastAsia="仿宋" w:cs="仿宋"/>
          <w:b/>
          <w:bCs/>
          <w:color w:val="000000"/>
          <w:sz w:val="30"/>
          <w:szCs w:val="30"/>
        </w:rPr>
        <w:t xml:space="preserve">医疗护理员： </w:t>
      </w:r>
      <w:r>
        <w:rPr>
          <w:rFonts w:hint="eastAsia" w:ascii="仿宋" w:hAnsi="仿宋" w:eastAsia="仿宋" w:cs="仿宋"/>
          <w:b/>
          <w:bCs/>
          <w:color w:val="000000"/>
          <w:sz w:val="30"/>
          <w:szCs w:val="30"/>
          <w:lang w:val="en-US" w:eastAsia="zh-CN"/>
        </w:rPr>
        <w:t xml:space="preserve">             </w:t>
      </w:r>
      <w:r>
        <w:rPr>
          <w:rFonts w:ascii="仿宋" w:hAnsi="仿宋" w:eastAsia="仿宋" w:cs="仿宋"/>
          <w:b/>
          <w:bCs/>
          <w:color w:val="000000"/>
          <w:sz w:val="30"/>
          <w:szCs w:val="30"/>
        </w:rPr>
        <w:t>日期：</w:t>
      </w:r>
    </w:p>
    <w:tbl>
      <w:tblPr>
        <w:tblStyle w:val="19"/>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0"/>
        <w:gridCol w:w="883"/>
        <w:gridCol w:w="867"/>
        <w:gridCol w:w="950"/>
      </w:tblGrid>
      <w:tr w14:paraId="5C18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vMerge w:val="restart"/>
            <w:noWrap w:val="0"/>
            <w:vAlign w:val="center"/>
          </w:tcPr>
          <w:p w14:paraId="77970296">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val="0"/>
                <w:bCs w:val="0"/>
                <w:color w:val="000000"/>
                <w:sz w:val="28"/>
                <w:szCs w:val="28"/>
                <w:vertAlign w:val="baseline"/>
              </w:rPr>
            </w:pPr>
            <w:r>
              <w:rPr>
                <w:rFonts w:ascii="仿宋" w:hAnsi="仿宋" w:eastAsia="仿宋" w:cs="仿宋"/>
                <w:b/>
                <w:bCs/>
                <w:color w:val="000000"/>
                <w:sz w:val="28"/>
                <w:szCs w:val="28"/>
              </w:rPr>
              <w:t>服务质量标准</w:t>
            </w:r>
          </w:p>
        </w:tc>
        <w:tc>
          <w:tcPr>
            <w:tcW w:w="2700" w:type="dxa"/>
            <w:gridSpan w:val="3"/>
            <w:noWrap w:val="0"/>
            <w:vAlign w:val="center"/>
          </w:tcPr>
          <w:p w14:paraId="1C7AB371">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val="en-US" w:eastAsia="zh-CN"/>
              </w:rPr>
              <w:t>考核结果</w:t>
            </w:r>
          </w:p>
        </w:tc>
      </w:tr>
      <w:tr w14:paraId="6B15B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vMerge w:val="continue"/>
            <w:noWrap w:val="0"/>
            <w:vAlign w:val="center"/>
          </w:tcPr>
          <w:p w14:paraId="38281EA7">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val="0"/>
                <w:bCs w:val="0"/>
                <w:color w:val="000000"/>
                <w:sz w:val="28"/>
                <w:szCs w:val="28"/>
                <w:vertAlign w:val="baseline"/>
              </w:rPr>
            </w:pPr>
          </w:p>
        </w:tc>
        <w:tc>
          <w:tcPr>
            <w:tcW w:w="883" w:type="dxa"/>
            <w:noWrap w:val="0"/>
            <w:vAlign w:val="center"/>
          </w:tcPr>
          <w:p w14:paraId="5F901891">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val="en-US" w:eastAsia="zh-CN"/>
              </w:rPr>
              <w:t>是</w:t>
            </w:r>
          </w:p>
        </w:tc>
        <w:tc>
          <w:tcPr>
            <w:tcW w:w="867" w:type="dxa"/>
            <w:noWrap w:val="0"/>
            <w:vAlign w:val="center"/>
          </w:tcPr>
          <w:p w14:paraId="043C2DBA">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val="en-US" w:eastAsia="zh-CN"/>
              </w:rPr>
              <w:t>否</w:t>
            </w:r>
          </w:p>
        </w:tc>
        <w:tc>
          <w:tcPr>
            <w:tcW w:w="950" w:type="dxa"/>
            <w:noWrap w:val="0"/>
            <w:vAlign w:val="center"/>
          </w:tcPr>
          <w:p w14:paraId="12A1D870">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val="en-US" w:eastAsia="zh-CN"/>
              </w:rPr>
              <w:t>其他</w:t>
            </w:r>
          </w:p>
        </w:tc>
      </w:tr>
      <w:tr w14:paraId="5CFC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771FDDF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1.持证上岗（持有健康体检合格证明、病患陪护专项职业能力证书）</w:t>
            </w:r>
          </w:p>
        </w:tc>
        <w:tc>
          <w:tcPr>
            <w:tcW w:w="883" w:type="dxa"/>
            <w:noWrap w:val="0"/>
            <w:vAlign w:val="top"/>
          </w:tcPr>
          <w:p w14:paraId="07DB9DB1">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2E663961">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001D84B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6147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1A4710C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2.统一着装，穿着整洁，仪表端庄，佩戴工牌</w:t>
            </w:r>
          </w:p>
        </w:tc>
        <w:tc>
          <w:tcPr>
            <w:tcW w:w="883" w:type="dxa"/>
            <w:noWrap w:val="0"/>
            <w:vAlign w:val="top"/>
          </w:tcPr>
          <w:p w14:paraId="628B41A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6C8CEF9A">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2062FEC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5E50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3FFABB6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3.遵守岗位要求不脱岗，认真履行岗位职责</w:t>
            </w:r>
          </w:p>
        </w:tc>
        <w:tc>
          <w:tcPr>
            <w:tcW w:w="883" w:type="dxa"/>
            <w:noWrap w:val="0"/>
            <w:vAlign w:val="top"/>
          </w:tcPr>
          <w:p w14:paraId="6BB37C7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37B3BA1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04D0764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2C61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58E30D4F">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4.虚心接受医院及上级管理部门监督、检查、指导</w:t>
            </w:r>
          </w:p>
        </w:tc>
        <w:tc>
          <w:tcPr>
            <w:tcW w:w="883" w:type="dxa"/>
            <w:noWrap w:val="0"/>
            <w:vAlign w:val="top"/>
          </w:tcPr>
          <w:p w14:paraId="3039CB1E">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18F3782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6D94342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0215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487FBF3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5.保持床单元整洁，物品按要求放置，保持病房安静、整洁、美观</w:t>
            </w:r>
          </w:p>
        </w:tc>
        <w:tc>
          <w:tcPr>
            <w:tcW w:w="883" w:type="dxa"/>
            <w:noWrap w:val="0"/>
            <w:vAlign w:val="top"/>
          </w:tcPr>
          <w:p w14:paraId="31168D5F">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2A26B18F">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144F941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042E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5D1A331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6.对患者做到“三短六洁”，“三短”即：指甲短、胡须短、头发 短； “六洁”即：脸洁、头发洁、口腔洁、手足洁、皮肤洁、肛门</w:t>
            </w:r>
          </w:p>
        </w:tc>
        <w:tc>
          <w:tcPr>
            <w:tcW w:w="883" w:type="dxa"/>
            <w:noWrap w:val="0"/>
            <w:vAlign w:val="top"/>
          </w:tcPr>
          <w:p w14:paraId="23DDBC4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71D2E58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780D8A4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53B37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744E133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7.按服务级别根据患者情况协助患者服药、进食、如厕等生活照护</w:t>
            </w:r>
          </w:p>
        </w:tc>
        <w:tc>
          <w:tcPr>
            <w:tcW w:w="883" w:type="dxa"/>
            <w:noWrap w:val="0"/>
            <w:vAlign w:val="top"/>
          </w:tcPr>
          <w:p w14:paraId="4FEF47A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662DB6F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4E716B1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7E4D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05E61A7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8.在医务人员指导下协助病人在床上或室内适当活动</w:t>
            </w:r>
          </w:p>
        </w:tc>
        <w:tc>
          <w:tcPr>
            <w:tcW w:w="883" w:type="dxa"/>
            <w:noWrap w:val="0"/>
            <w:vAlign w:val="top"/>
          </w:tcPr>
          <w:p w14:paraId="662D85C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5182F0EA">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2CB1708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5384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198115F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9.服从医院病区医务人员管理，尊重医务人员和患者，保护患者隐私</w:t>
            </w:r>
          </w:p>
        </w:tc>
        <w:tc>
          <w:tcPr>
            <w:tcW w:w="883" w:type="dxa"/>
            <w:noWrap w:val="0"/>
            <w:vAlign w:val="top"/>
          </w:tcPr>
          <w:p w14:paraId="2D5CA868">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2D8F914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3B541CB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2BDE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1601E4D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10.严格执行医院感染控制要求和消毒隔离制度，防止交叉感染</w:t>
            </w:r>
          </w:p>
        </w:tc>
        <w:tc>
          <w:tcPr>
            <w:tcW w:w="883" w:type="dxa"/>
            <w:noWrap w:val="0"/>
            <w:vAlign w:val="top"/>
          </w:tcPr>
          <w:p w14:paraId="72770D0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007DC17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0BE499B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689B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7A86005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11.落实患者安全措施，预防患者发生跌倒/坠床、管道脱落等不良 事件或纠纷，如有异常及时报告医务人员及陪护服务机构</w:t>
            </w:r>
          </w:p>
        </w:tc>
        <w:tc>
          <w:tcPr>
            <w:tcW w:w="883" w:type="dxa"/>
            <w:noWrap w:val="0"/>
            <w:vAlign w:val="top"/>
          </w:tcPr>
          <w:p w14:paraId="08F74E2E">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6C35C3A8">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13736B6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3A70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16FE0DC1">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12.爱护医院或病区的物品、仪器等财产，节约用水用电</w:t>
            </w:r>
          </w:p>
        </w:tc>
        <w:tc>
          <w:tcPr>
            <w:tcW w:w="883" w:type="dxa"/>
            <w:noWrap w:val="0"/>
            <w:vAlign w:val="top"/>
          </w:tcPr>
          <w:p w14:paraId="3A12ACEE">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515D09DE">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4889F3B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48020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237C475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13.不私自替患者更换输液、调节输液速度、拔除输液管路等</w:t>
            </w:r>
          </w:p>
        </w:tc>
        <w:tc>
          <w:tcPr>
            <w:tcW w:w="883" w:type="dxa"/>
            <w:noWrap w:val="0"/>
            <w:vAlign w:val="top"/>
          </w:tcPr>
          <w:p w14:paraId="34236A39">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0F6349FF">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2A4598D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0498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38660E9A">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14.不操作监护仪等急救、诊疗设施设备</w:t>
            </w:r>
          </w:p>
        </w:tc>
        <w:tc>
          <w:tcPr>
            <w:tcW w:w="883" w:type="dxa"/>
            <w:noWrap w:val="0"/>
            <w:vAlign w:val="top"/>
          </w:tcPr>
          <w:p w14:paraId="3297EB4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0BBB29F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2241BE9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3776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1FCF014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15.不随意调节氧气开关、氧流量</w:t>
            </w:r>
          </w:p>
        </w:tc>
        <w:tc>
          <w:tcPr>
            <w:tcW w:w="883" w:type="dxa"/>
            <w:noWrap w:val="0"/>
            <w:vAlign w:val="top"/>
          </w:tcPr>
          <w:p w14:paraId="7911F32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3E7311F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0B4EC80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1D02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493D35F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16.不为患者进行吸痰等非生活照护操作</w:t>
            </w:r>
          </w:p>
        </w:tc>
        <w:tc>
          <w:tcPr>
            <w:tcW w:w="883" w:type="dxa"/>
            <w:noWrap w:val="0"/>
            <w:vAlign w:val="top"/>
          </w:tcPr>
          <w:p w14:paraId="1BA3A73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6F56470A">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311AF6F8">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6A99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0FD0173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17.不私自将患者带离医院或擅自离开病房和患者身边，暂时离开须 寻找他人帮助，并主动报告责任护士。</w:t>
            </w:r>
          </w:p>
        </w:tc>
        <w:tc>
          <w:tcPr>
            <w:tcW w:w="883" w:type="dxa"/>
            <w:noWrap w:val="0"/>
            <w:vAlign w:val="top"/>
          </w:tcPr>
          <w:p w14:paraId="2C8C1B2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6FD04F78">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1E6C6D3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5D72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3DAA542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18.不擅自翻阅病历或者其他医疗文书</w:t>
            </w:r>
          </w:p>
        </w:tc>
        <w:tc>
          <w:tcPr>
            <w:tcW w:w="883" w:type="dxa"/>
            <w:noWrap w:val="0"/>
            <w:vAlign w:val="top"/>
          </w:tcPr>
          <w:p w14:paraId="59672639">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307708A8">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1C31BAB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56185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06E5981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19.不私自为患者解释病情</w:t>
            </w:r>
          </w:p>
        </w:tc>
        <w:tc>
          <w:tcPr>
            <w:tcW w:w="883" w:type="dxa"/>
            <w:noWrap w:val="0"/>
            <w:vAlign w:val="top"/>
          </w:tcPr>
          <w:p w14:paraId="0705673E">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70BA609E">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4FBBC91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3E13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4BD0935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20.不私自给禁食禁饮病人喂食、喂水、喂药等</w:t>
            </w:r>
          </w:p>
        </w:tc>
        <w:tc>
          <w:tcPr>
            <w:tcW w:w="883" w:type="dxa"/>
            <w:noWrap w:val="0"/>
            <w:vAlign w:val="top"/>
          </w:tcPr>
          <w:p w14:paraId="3367F4C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72DA89E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07AD81F1">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01C9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4611583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21.不私自为患者使用热水袋热敷或冰敷</w:t>
            </w:r>
          </w:p>
        </w:tc>
        <w:tc>
          <w:tcPr>
            <w:tcW w:w="883" w:type="dxa"/>
            <w:noWrap w:val="0"/>
            <w:vAlign w:val="top"/>
          </w:tcPr>
          <w:p w14:paraId="35292EA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356D59A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4A26061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0D43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47E7AA36">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22.不私自给患者使用药物、各种治疗性、理疗性仪器等</w:t>
            </w:r>
          </w:p>
        </w:tc>
        <w:tc>
          <w:tcPr>
            <w:tcW w:w="883" w:type="dxa"/>
            <w:noWrap w:val="0"/>
            <w:vAlign w:val="top"/>
          </w:tcPr>
          <w:p w14:paraId="10A5336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202F010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59C1D7E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7550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405372E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23.不在医疗机构内从事商品推销，进行黄、赌、毒行为</w:t>
            </w:r>
          </w:p>
        </w:tc>
        <w:tc>
          <w:tcPr>
            <w:tcW w:w="883" w:type="dxa"/>
            <w:noWrap w:val="0"/>
            <w:vAlign w:val="top"/>
          </w:tcPr>
          <w:p w14:paraId="5EB6744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15D818E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5350D9A6">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0AF6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30153BD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24.不质疑或干扰医疗机构各项诊疗活动行为</w:t>
            </w:r>
          </w:p>
        </w:tc>
        <w:tc>
          <w:tcPr>
            <w:tcW w:w="883" w:type="dxa"/>
            <w:noWrap w:val="0"/>
            <w:vAlign w:val="top"/>
          </w:tcPr>
          <w:p w14:paraId="6021AAB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7B96446F">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2E7840AA">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7BE2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300CA7C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25.不在院内非指定区域或病区内吸烟、喝酒、窜病房</w:t>
            </w:r>
          </w:p>
        </w:tc>
        <w:tc>
          <w:tcPr>
            <w:tcW w:w="883" w:type="dxa"/>
            <w:noWrap w:val="0"/>
            <w:vAlign w:val="top"/>
          </w:tcPr>
          <w:p w14:paraId="4DE9C89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57DEAFE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4C1EB5A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6D9A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00BDEAC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26.不在医院或病区蒸煮或烫煮食物</w:t>
            </w:r>
          </w:p>
        </w:tc>
        <w:tc>
          <w:tcPr>
            <w:tcW w:w="883" w:type="dxa"/>
            <w:noWrap w:val="0"/>
            <w:vAlign w:val="top"/>
          </w:tcPr>
          <w:p w14:paraId="399A2716">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67F2437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1F0415F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76E7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12C11536">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27.不随意乱丢垃圾，如尿袋排空后、尿不湿、护理垫等污染物品</w:t>
            </w:r>
          </w:p>
        </w:tc>
        <w:tc>
          <w:tcPr>
            <w:tcW w:w="883" w:type="dxa"/>
            <w:noWrap w:val="0"/>
            <w:vAlign w:val="top"/>
          </w:tcPr>
          <w:p w14:paraId="71C6842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7E59118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2613F5FF">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3A4C6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5E0767A6">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28.不在非指定区域晾晒衣物、被服等物品</w:t>
            </w:r>
          </w:p>
        </w:tc>
        <w:tc>
          <w:tcPr>
            <w:tcW w:w="883" w:type="dxa"/>
            <w:noWrap w:val="0"/>
            <w:vAlign w:val="top"/>
          </w:tcPr>
          <w:p w14:paraId="52EE811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74EE306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6C6FB92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24D4C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0CECCAA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lang w:val="en-US" w:eastAsia="zh-CN"/>
              </w:rPr>
            </w:pPr>
            <w:r>
              <w:rPr>
                <w:rFonts w:ascii="仿宋" w:hAnsi="仿宋" w:eastAsia="仿宋" w:cs="仿宋"/>
                <w:b w:val="0"/>
                <w:bCs w:val="0"/>
                <w:color w:val="000000"/>
                <w:sz w:val="28"/>
                <w:szCs w:val="28"/>
              </w:rPr>
              <w:t>29.不使用大功率电器（＞1200W），如大型吹风机、电热锅、</w:t>
            </w:r>
            <w:r>
              <w:rPr>
                <w:rFonts w:hint="eastAsia" w:ascii="仿宋" w:hAnsi="仿宋" w:eastAsia="仿宋" w:cs="仿宋"/>
                <w:b w:val="0"/>
                <w:bCs w:val="0"/>
                <w:color w:val="000000"/>
                <w:sz w:val="28"/>
                <w:szCs w:val="28"/>
                <w:lang w:val="en-US" w:eastAsia="zh-CN"/>
              </w:rPr>
              <w:t>电磁炉</w:t>
            </w:r>
          </w:p>
        </w:tc>
        <w:tc>
          <w:tcPr>
            <w:tcW w:w="883" w:type="dxa"/>
            <w:noWrap w:val="0"/>
            <w:vAlign w:val="top"/>
          </w:tcPr>
          <w:p w14:paraId="48AF7B9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2FDD1C5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2C45911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6DFD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2D40A591">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30.等不在病房内存放生菜生肉、砧板等物品</w:t>
            </w:r>
          </w:p>
        </w:tc>
        <w:tc>
          <w:tcPr>
            <w:tcW w:w="883" w:type="dxa"/>
            <w:noWrap w:val="0"/>
            <w:vAlign w:val="top"/>
          </w:tcPr>
          <w:p w14:paraId="2FDCC95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4715A28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0C6F50F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224D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4942CE2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31.不私自为患者介绍未经我院规范化培训的医疗护理员</w:t>
            </w:r>
          </w:p>
        </w:tc>
        <w:tc>
          <w:tcPr>
            <w:tcW w:w="883" w:type="dxa"/>
            <w:noWrap w:val="0"/>
            <w:vAlign w:val="top"/>
          </w:tcPr>
          <w:p w14:paraId="4E9C6DB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3DC938FE">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6D43965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1FE7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73CF8706">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32.不向患者或家属索取利是或红包</w:t>
            </w:r>
          </w:p>
        </w:tc>
        <w:tc>
          <w:tcPr>
            <w:tcW w:w="883" w:type="dxa"/>
            <w:noWrap w:val="0"/>
            <w:vAlign w:val="top"/>
          </w:tcPr>
          <w:p w14:paraId="31CA758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4423B72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4D7C1A6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2CC9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0FFE7B3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ascii="仿宋" w:hAnsi="仿宋" w:eastAsia="仿宋" w:cs="仿宋"/>
                <w:b/>
                <w:bCs/>
                <w:color w:val="000000"/>
                <w:sz w:val="28"/>
                <w:szCs w:val="28"/>
              </w:rPr>
            </w:pPr>
            <w:r>
              <w:rPr>
                <w:rFonts w:ascii="仿宋" w:hAnsi="仿宋" w:eastAsia="仿宋" w:cs="仿宋"/>
                <w:b/>
                <w:bCs/>
                <w:color w:val="000000"/>
                <w:sz w:val="28"/>
                <w:szCs w:val="28"/>
              </w:rPr>
              <w:t>合计</w:t>
            </w:r>
          </w:p>
        </w:tc>
        <w:tc>
          <w:tcPr>
            <w:tcW w:w="883" w:type="dxa"/>
            <w:noWrap w:val="0"/>
            <w:vAlign w:val="top"/>
          </w:tcPr>
          <w:p w14:paraId="5A594808">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53A4482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07D69259">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4215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1F4C0C2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ascii="仿宋" w:hAnsi="仿宋" w:eastAsia="仿宋" w:cs="仿宋"/>
                <w:b/>
                <w:bCs/>
                <w:color w:val="000000"/>
                <w:sz w:val="28"/>
                <w:szCs w:val="28"/>
              </w:rPr>
            </w:pPr>
            <w:r>
              <w:rPr>
                <w:rFonts w:ascii="仿宋" w:hAnsi="仿宋" w:eastAsia="仿宋" w:cs="仿宋"/>
                <w:b/>
                <w:bCs/>
                <w:color w:val="000000"/>
                <w:sz w:val="28"/>
                <w:szCs w:val="28"/>
              </w:rPr>
              <w:t>达</w:t>
            </w:r>
            <w:r>
              <w:rPr>
                <w:rFonts w:hint="eastAsia" w:ascii="仿宋" w:hAnsi="仿宋" w:eastAsia="仿宋" w:cs="仿宋"/>
                <w:b/>
                <w:bCs/>
                <w:color w:val="000000"/>
                <w:sz w:val="28"/>
                <w:szCs w:val="28"/>
                <w:lang w:val="en-US" w:eastAsia="zh-CN"/>
              </w:rPr>
              <w:t>标</w:t>
            </w:r>
            <w:r>
              <w:rPr>
                <w:rFonts w:ascii="仿宋" w:hAnsi="仿宋" w:eastAsia="仿宋" w:cs="仿宋"/>
                <w:b/>
                <w:bCs/>
                <w:color w:val="000000"/>
                <w:sz w:val="28"/>
                <w:szCs w:val="28"/>
              </w:rPr>
              <w:t>率</w:t>
            </w:r>
          </w:p>
        </w:tc>
        <w:tc>
          <w:tcPr>
            <w:tcW w:w="2700" w:type="dxa"/>
            <w:gridSpan w:val="3"/>
            <w:noWrap w:val="0"/>
            <w:vAlign w:val="top"/>
          </w:tcPr>
          <w:p w14:paraId="5769BEA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0E02D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0" w:type="dxa"/>
            <w:gridSpan w:val="4"/>
            <w:noWrap w:val="0"/>
            <w:vAlign w:val="top"/>
          </w:tcPr>
          <w:p w14:paraId="545E66DA">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bCs/>
                <w:color w:val="000000"/>
                <w:sz w:val="28"/>
                <w:szCs w:val="28"/>
              </w:rPr>
              <w:t>备注：陪护办公室专职人员根据该标准定期（每月）考核医疗护理员服务质量， 考核结果分为</w:t>
            </w:r>
            <w:r>
              <w:rPr>
                <w:rFonts w:hint="eastAsia" w:ascii="仿宋" w:hAnsi="仿宋" w:eastAsia="仿宋" w:cs="仿宋"/>
                <w:b/>
                <w:bCs/>
                <w:color w:val="000000"/>
                <w:sz w:val="28"/>
                <w:szCs w:val="28"/>
                <w:lang w:eastAsia="zh-CN"/>
              </w:rPr>
              <w:t>：</w:t>
            </w:r>
            <w:r>
              <w:rPr>
                <w:rFonts w:ascii="仿宋" w:hAnsi="仿宋" w:eastAsia="仿宋" w:cs="仿宋"/>
                <w:b/>
                <w:bCs/>
                <w:color w:val="000000"/>
                <w:sz w:val="28"/>
                <w:szCs w:val="28"/>
              </w:rPr>
              <w:t>优（达</w:t>
            </w:r>
            <w:r>
              <w:rPr>
                <w:rFonts w:hint="eastAsia" w:ascii="仿宋" w:hAnsi="仿宋" w:eastAsia="仿宋" w:cs="仿宋"/>
                <w:b/>
                <w:bCs/>
                <w:color w:val="000000"/>
                <w:sz w:val="28"/>
                <w:szCs w:val="28"/>
                <w:lang w:val="en-US" w:eastAsia="zh-CN"/>
              </w:rPr>
              <w:t>标</w:t>
            </w:r>
            <w:r>
              <w:rPr>
                <w:rFonts w:ascii="仿宋" w:hAnsi="仿宋" w:eastAsia="仿宋" w:cs="仿宋"/>
                <w:b/>
                <w:bCs/>
                <w:color w:val="000000"/>
                <w:sz w:val="28"/>
                <w:szCs w:val="28"/>
              </w:rPr>
              <w:t>率≥90%）、良（达</w:t>
            </w:r>
            <w:r>
              <w:rPr>
                <w:rFonts w:hint="eastAsia" w:ascii="仿宋" w:hAnsi="仿宋" w:eastAsia="仿宋" w:cs="仿宋"/>
                <w:b/>
                <w:bCs/>
                <w:color w:val="000000"/>
                <w:sz w:val="28"/>
                <w:szCs w:val="28"/>
                <w:lang w:val="en-US" w:eastAsia="zh-CN"/>
              </w:rPr>
              <w:t>标</w:t>
            </w:r>
            <w:r>
              <w:rPr>
                <w:rFonts w:ascii="仿宋" w:hAnsi="仿宋" w:eastAsia="仿宋" w:cs="仿宋"/>
                <w:b/>
                <w:bCs/>
                <w:color w:val="000000"/>
                <w:sz w:val="28"/>
                <w:szCs w:val="28"/>
              </w:rPr>
              <w:t>率 85%-89%）、合格（达</w:t>
            </w:r>
            <w:r>
              <w:rPr>
                <w:rFonts w:hint="eastAsia" w:ascii="仿宋" w:hAnsi="仿宋" w:eastAsia="仿宋" w:cs="仿宋"/>
                <w:b/>
                <w:bCs/>
                <w:color w:val="000000"/>
                <w:sz w:val="28"/>
                <w:szCs w:val="28"/>
                <w:lang w:val="en-US" w:eastAsia="zh-CN"/>
              </w:rPr>
              <w:t>标</w:t>
            </w:r>
            <w:r>
              <w:rPr>
                <w:rFonts w:ascii="仿宋" w:hAnsi="仿宋" w:eastAsia="仿宋" w:cs="仿宋"/>
                <w:b/>
                <w:bCs/>
                <w:color w:val="000000"/>
                <w:sz w:val="28"/>
                <w:szCs w:val="28"/>
              </w:rPr>
              <w:t>率≥80%）。</w:t>
            </w:r>
          </w:p>
        </w:tc>
      </w:tr>
    </w:tbl>
    <w:p w14:paraId="7D0099A8">
      <w:pPr>
        <w:jc w:val="left"/>
        <w:rPr>
          <w:rFonts w:hint="eastAsia" w:ascii="仿宋" w:hAnsi="仿宋" w:eastAsia="仿宋" w:cs="仿宋"/>
          <w:b/>
          <w:bCs/>
          <w:color w:val="000000"/>
          <w:sz w:val="28"/>
          <w:szCs w:val="28"/>
        </w:rPr>
      </w:pPr>
    </w:p>
    <w:p w14:paraId="2E63FE2E">
      <w:pPr>
        <w:jc w:val="left"/>
        <w:rPr>
          <w:rFonts w:hint="eastAsia" w:ascii="仿宋" w:hAnsi="仿宋" w:eastAsia="仿宋" w:cs="仿宋"/>
          <w:b/>
          <w:bCs/>
          <w:color w:val="000000"/>
          <w:sz w:val="28"/>
          <w:szCs w:val="28"/>
        </w:rPr>
      </w:pPr>
    </w:p>
    <w:p w14:paraId="755C6F5F">
      <w:pPr>
        <w:jc w:val="left"/>
        <w:rPr>
          <w:rFonts w:hint="eastAsia" w:ascii="仿宋" w:hAnsi="仿宋" w:eastAsia="仿宋" w:cs="仿宋"/>
          <w:b/>
          <w:bCs/>
          <w:color w:val="000000"/>
          <w:sz w:val="28"/>
          <w:szCs w:val="28"/>
        </w:rPr>
      </w:pPr>
    </w:p>
    <w:p w14:paraId="51DB2F6A">
      <w:pPr>
        <w:jc w:val="left"/>
        <w:rPr>
          <w:rFonts w:hint="eastAsia" w:ascii="仿宋" w:hAnsi="仿宋" w:eastAsia="仿宋" w:cs="仿宋"/>
          <w:b/>
          <w:bCs/>
          <w:color w:val="000000"/>
          <w:sz w:val="28"/>
          <w:szCs w:val="28"/>
        </w:rPr>
      </w:pPr>
    </w:p>
    <w:p w14:paraId="527B0E46">
      <w:pPr>
        <w:jc w:val="left"/>
        <w:rPr>
          <w:rFonts w:hint="eastAsia" w:ascii="仿宋" w:hAnsi="仿宋" w:eastAsia="仿宋" w:cs="仿宋"/>
          <w:b/>
          <w:bCs/>
          <w:color w:val="000000"/>
          <w:sz w:val="28"/>
          <w:szCs w:val="28"/>
        </w:rPr>
      </w:pPr>
    </w:p>
    <w:p w14:paraId="48B40FEF">
      <w:pPr>
        <w:jc w:val="left"/>
        <w:rPr>
          <w:rFonts w:hint="eastAsia" w:ascii="仿宋" w:hAnsi="仿宋" w:eastAsia="仿宋" w:cs="仿宋"/>
          <w:b/>
          <w:bCs/>
          <w:color w:val="000000"/>
          <w:sz w:val="28"/>
          <w:szCs w:val="28"/>
        </w:rPr>
      </w:pPr>
    </w:p>
    <w:p w14:paraId="7D396741">
      <w:pPr>
        <w:jc w:val="left"/>
        <w:rPr>
          <w:rFonts w:hint="eastAsia" w:ascii="仿宋" w:hAnsi="仿宋" w:eastAsia="仿宋" w:cs="仿宋"/>
          <w:b/>
          <w:bCs/>
          <w:color w:val="000000"/>
          <w:sz w:val="28"/>
          <w:szCs w:val="28"/>
        </w:rPr>
      </w:pPr>
    </w:p>
    <w:p w14:paraId="6D493F8A">
      <w:pPr>
        <w:jc w:val="left"/>
        <w:rPr>
          <w:rFonts w:hint="eastAsia" w:ascii="仿宋" w:hAnsi="仿宋" w:eastAsia="仿宋" w:cs="仿宋"/>
          <w:b/>
          <w:bCs/>
          <w:color w:val="000000"/>
          <w:sz w:val="28"/>
          <w:szCs w:val="28"/>
        </w:rPr>
      </w:pPr>
    </w:p>
    <w:p w14:paraId="0E06BC65">
      <w:pPr>
        <w:jc w:val="left"/>
        <w:rPr>
          <w:rFonts w:hint="eastAsia" w:ascii="仿宋" w:hAnsi="仿宋" w:eastAsia="仿宋" w:cs="仿宋"/>
          <w:b/>
          <w:bCs/>
          <w:color w:val="000000"/>
          <w:sz w:val="28"/>
          <w:szCs w:val="28"/>
        </w:rPr>
      </w:pPr>
    </w:p>
    <w:p w14:paraId="37D2FEEE">
      <w:pPr>
        <w:keepNext w:val="0"/>
        <w:keepLines w:val="0"/>
        <w:pageBreakBefore w:val="0"/>
        <w:widowControl w:val="0"/>
        <w:kinsoku/>
        <w:wordWrap/>
        <w:overflowPunct/>
        <w:topLinePunct w:val="0"/>
        <w:autoSpaceDE w:val="0"/>
        <w:autoSpaceDN/>
        <w:bidi w:val="0"/>
        <w:adjustRightInd w:val="0"/>
        <w:snapToGrid w:val="0"/>
        <w:spacing w:line="520" w:lineRule="exact"/>
        <w:jc w:val="center"/>
        <w:textAlignment w:val="auto"/>
        <w:rPr>
          <w:rFonts w:hint="eastAsia" w:ascii="黑体" w:hAnsi="黑体" w:eastAsia="黑体" w:cs="黑体"/>
          <w:b/>
          <w:bCs/>
          <w:sz w:val="36"/>
          <w:szCs w:val="36"/>
          <w:lang w:val="en-US" w:eastAsia="zh-CN"/>
        </w:rPr>
      </w:pPr>
    </w:p>
    <w:p w14:paraId="4DE0A112">
      <w:pPr>
        <w:keepNext w:val="0"/>
        <w:keepLines w:val="0"/>
        <w:pageBreakBefore w:val="0"/>
        <w:widowControl w:val="0"/>
        <w:kinsoku/>
        <w:wordWrap/>
        <w:overflowPunct/>
        <w:topLinePunct w:val="0"/>
        <w:autoSpaceDE w:val="0"/>
        <w:autoSpaceDN/>
        <w:bidi w:val="0"/>
        <w:adjustRightInd w:val="0"/>
        <w:snapToGrid w:val="0"/>
        <w:spacing w:line="520" w:lineRule="exact"/>
        <w:jc w:val="center"/>
        <w:textAlignment w:val="auto"/>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附件4：桂林市中西医结合医院</w:t>
      </w:r>
    </w:p>
    <w:p w14:paraId="5DC47D34">
      <w:pPr>
        <w:keepNext w:val="0"/>
        <w:keepLines w:val="0"/>
        <w:pageBreakBefore w:val="0"/>
        <w:widowControl w:val="0"/>
        <w:kinsoku/>
        <w:wordWrap/>
        <w:overflowPunct/>
        <w:topLinePunct w:val="0"/>
        <w:autoSpaceDE w:val="0"/>
        <w:autoSpaceDN/>
        <w:bidi w:val="0"/>
        <w:adjustRightInd w:val="0"/>
        <w:snapToGrid w:val="0"/>
        <w:spacing w:line="520" w:lineRule="exact"/>
        <w:jc w:val="center"/>
        <w:textAlignment w:val="auto"/>
        <w:rPr>
          <w:rFonts w:hint="eastAsia" w:ascii="黑体" w:hAnsi="黑体" w:eastAsia="黑体" w:cs="黑体"/>
          <w:b/>
          <w:bCs/>
          <w:sz w:val="36"/>
          <w:szCs w:val="36"/>
        </w:rPr>
      </w:pPr>
      <w:r>
        <w:rPr>
          <w:rFonts w:hint="eastAsia" w:ascii="黑体" w:hAnsi="黑体" w:eastAsia="黑体" w:cs="黑体"/>
          <w:b/>
          <w:bCs/>
          <w:sz w:val="36"/>
          <w:szCs w:val="36"/>
        </w:rPr>
        <w:t>医疗护理员辅助护理服务满意度调查表</w:t>
      </w:r>
    </w:p>
    <w:p w14:paraId="61150940">
      <w:pPr>
        <w:keepNext w:val="0"/>
        <w:keepLines w:val="0"/>
        <w:pageBreakBefore w:val="0"/>
        <w:widowControl w:val="0"/>
        <w:kinsoku/>
        <w:wordWrap/>
        <w:overflowPunct/>
        <w:topLinePunct w:val="0"/>
        <w:autoSpaceDN/>
        <w:bidi w:val="0"/>
        <w:adjustRightInd w:val="0"/>
        <w:snapToGrid w:val="0"/>
        <w:spacing w:line="520" w:lineRule="exact"/>
        <w:jc w:val="center"/>
        <w:textAlignment w:val="auto"/>
        <w:rPr>
          <w:rFonts w:hint="eastAsia" w:ascii="Times New Roman" w:hAnsi="Times New Roman" w:eastAsia="方正仿宋_GBK"/>
          <w:b/>
          <w:bCs/>
          <w:color w:val="FF0000"/>
          <w:sz w:val="18"/>
          <w:szCs w:val="18"/>
        </w:rPr>
      </w:pPr>
      <w:r>
        <w:rPr>
          <w:rFonts w:hint="eastAsia" w:ascii="Times New Roman" w:hAnsi="Times New Roman" w:eastAsia="方正楷体_GBK"/>
          <w:bCs/>
          <w:color w:val="FF0000"/>
          <w:sz w:val="32"/>
          <w:szCs w:val="32"/>
        </w:rPr>
        <w:t>（医务人员填写）</w:t>
      </w:r>
      <w:r>
        <w:rPr>
          <w:rFonts w:hint="eastAsia" w:ascii="Times New Roman" w:hAnsi="Times New Roman" w:eastAsia="方正仿宋_GBK"/>
          <w:b/>
          <w:bCs/>
          <w:color w:val="FF0000"/>
          <w:sz w:val="18"/>
          <w:szCs w:val="18"/>
        </w:rPr>
        <w:t xml:space="preserve"> </w:t>
      </w:r>
    </w:p>
    <w:p w14:paraId="2C095C1E">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30"/>
          <w:szCs w:val="30"/>
        </w:rPr>
      </w:pPr>
      <w:r>
        <w:rPr>
          <w:rFonts w:hint="eastAsia" w:ascii="仿宋" w:hAnsi="仿宋" w:eastAsia="仿宋" w:cs="仿宋"/>
          <w:sz w:val="30"/>
          <w:szCs w:val="30"/>
        </w:rPr>
        <w:t>尊敬的护士长/护士，您好！</w:t>
      </w:r>
    </w:p>
    <w:p w14:paraId="08701A60">
      <w:pPr>
        <w:keepNext w:val="0"/>
        <w:keepLines w:val="0"/>
        <w:pageBreakBefore w:val="0"/>
        <w:widowControl w:val="0"/>
        <w:kinsoku/>
        <w:wordWrap/>
        <w:overflowPunct/>
        <w:topLinePunct w:val="0"/>
        <w:autoSpaceDE/>
        <w:autoSpaceDN/>
        <w:bidi w:val="0"/>
        <w:adjustRightInd w:val="0"/>
        <w:snapToGrid w:val="0"/>
        <w:spacing w:line="400" w:lineRule="exact"/>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为规范医疗护理员的管理，及时了解医疗护理员服务的情况，以帮助我们改进工作，恳请您对医疗护理员服务情况对应评价打“√”，并对医疗护理员的工作提出指导意见和改进建议，谢谢您的合作！祝您工作顺利！</w:t>
      </w:r>
    </w:p>
    <w:p w14:paraId="6A9B39C4">
      <w:pPr>
        <w:keepNext w:val="0"/>
        <w:keepLines w:val="0"/>
        <w:pageBreakBefore w:val="0"/>
        <w:widowControl w:val="0"/>
        <w:kinsoku/>
        <w:wordWrap/>
        <w:overflowPunct/>
        <w:topLinePunct w:val="0"/>
        <w:autoSpaceDN/>
        <w:bidi w:val="0"/>
        <w:adjustRightInd w:val="0"/>
        <w:snapToGrid w:val="0"/>
        <w:spacing w:line="520" w:lineRule="exact"/>
        <w:ind w:firstLine="606" w:firstLineChars="200"/>
        <w:textAlignment w:val="auto"/>
        <w:rPr>
          <w:rFonts w:hint="eastAsia" w:ascii="仿宋" w:hAnsi="仿宋" w:eastAsia="仿宋" w:cs="仿宋"/>
          <w:b/>
          <w:bCs/>
          <w:sz w:val="30"/>
          <w:szCs w:val="30"/>
        </w:rPr>
      </w:pPr>
      <w:r>
        <w:rPr>
          <w:rFonts w:hint="eastAsia" w:ascii="仿宋" w:hAnsi="仿宋" w:eastAsia="仿宋" w:cs="仿宋"/>
          <w:b/>
          <w:bCs/>
          <w:spacing w:val="1"/>
          <w:kern w:val="0"/>
          <w:sz w:val="30"/>
          <w:szCs w:val="30"/>
          <w:lang w:val="en-US" w:eastAsia="zh-CN"/>
        </w:rPr>
        <w:t>科室</w:t>
      </w:r>
      <w:r>
        <w:rPr>
          <w:rFonts w:hint="eastAsia" w:ascii="仿宋" w:hAnsi="仿宋" w:eastAsia="仿宋" w:cs="仿宋"/>
          <w:b/>
          <w:bCs/>
          <w:spacing w:val="1"/>
          <w:kern w:val="0"/>
          <w:sz w:val="30"/>
          <w:szCs w:val="30"/>
        </w:rPr>
        <w:t>名称：                     医疗护理员姓名：</w:t>
      </w:r>
    </w:p>
    <w:tbl>
      <w:tblPr>
        <w:tblStyle w:val="18"/>
        <w:tblW w:w="10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3"/>
        <w:gridCol w:w="4634"/>
        <w:gridCol w:w="901"/>
        <w:gridCol w:w="1050"/>
        <w:gridCol w:w="840"/>
        <w:gridCol w:w="1020"/>
        <w:gridCol w:w="901"/>
      </w:tblGrid>
      <w:tr w14:paraId="22266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vMerge w:val="restart"/>
            <w:noWrap w:val="0"/>
            <w:vAlign w:val="center"/>
          </w:tcPr>
          <w:p w14:paraId="2EEEE5E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left="30"/>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序号</w:t>
            </w:r>
          </w:p>
        </w:tc>
        <w:tc>
          <w:tcPr>
            <w:tcW w:w="4634" w:type="dxa"/>
            <w:vMerge w:val="restart"/>
            <w:noWrap w:val="0"/>
            <w:vAlign w:val="center"/>
          </w:tcPr>
          <w:p w14:paraId="760FE2F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left="30"/>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调查内容</w:t>
            </w:r>
          </w:p>
        </w:tc>
        <w:tc>
          <w:tcPr>
            <w:tcW w:w="4712" w:type="dxa"/>
            <w:gridSpan w:val="5"/>
            <w:noWrap w:val="0"/>
            <w:vAlign w:val="center"/>
          </w:tcPr>
          <w:p w14:paraId="2F9F2A3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满意度</w:t>
            </w:r>
          </w:p>
        </w:tc>
      </w:tr>
      <w:tr w14:paraId="6DA5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vMerge w:val="continue"/>
            <w:noWrap w:val="0"/>
            <w:vAlign w:val="center"/>
          </w:tcPr>
          <w:p w14:paraId="27DF256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b/>
                <w:bCs w:val="0"/>
                <w:kern w:val="0"/>
                <w:sz w:val="24"/>
                <w:szCs w:val="24"/>
              </w:rPr>
            </w:pPr>
          </w:p>
        </w:tc>
        <w:tc>
          <w:tcPr>
            <w:tcW w:w="4634" w:type="dxa"/>
            <w:vMerge w:val="continue"/>
            <w:noWrap w:val="0"/>
            <w:vAlign w:val="center"/>
          </w:tcPr>
          <w:p w14:paraId="6488B7F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b/>
                <w:bCs w:val="0"/>
                <w:kern w:val="0"/>
                <w:sz w:val="24"/>
                <w:szCs w:val="24"/>
              </w:rPr>
            </w:pPr>
          </w:p>
        </w:tc>
        <w:tc>
          <w:tcPr>
            <w:tcW w:w="901" w:type="dxa"/>
            <w:noWrap w:val="0"/>
            <w:vAlign w:val="center"/>
          </w:tcPr>
          <w:p w14:paraId="4ACD51E8">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满意</w:t>
            </w:r>
          </w:p>
        </w:tc>
        <w:tc>
          <w:tcPr>
            <w:tcW w:w="1050" w:type="dxa"/>
            <w:noWrap w:val="0"/>
            <w:vAlign w:val="center"/>
          </w:tcPr>
          <w:p w14:paraId="622ED2C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比较满意</w:t>
            </w:r>
          </w:p>
        </w:tc>
        <w:tc>
          <w:tcPr>
            <w:tcW w:w="840" w:type="dxa"/>
            <w:noWrap w:val="0"/>
            <w:vAlign w:val="center"/>
          </w:tcPr>
          <w:p w14:paraId="4BCC163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一般</w:t>
            </w:r>
          </w:p>
        </w:tc>
        <w:tc>
          <w:tcPr>
            <w:tcW w:w="1020" w:type="dxa"/>
            <w:noWrap w:val="0"/>
            <w:vAlign w:val="center"/>
          </w:tcPr>
          <w:p w14:paraId="2E43663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不太满意</w:t>
            </w:r>
          </w:p>
        </w:tc>
        <w:tc>
          <w:tcPr>
            <w:tcW w:w="901" w:type="dxa"/>
            <w:noWrap w:val="0"/>
            <w:vAlign w:val="center"/>
          </w:tcPr>
          <w:p w14:paraId="411E80EA">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不满意</w:t>
            </w:r>
          </w:p>
        </w:tc>
      </w:tr>
      <w:tr w14:paraId="5536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30CDF21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w:t>
            </w:r>
          </w:p>
        </w:tc>
        <w:tc>
          <w:tcPr>
            <w:tcW w:w="4634" w:type="dxa"/>
            <w:noWrap w:val="0"/>
            <w:vAlign w:val="center"/>
          </w:tcPr>
          <w:p w14:paraId="354E0E0F">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严格遵守医院、科室有关规章制度，持证上岗。</w:t>
            </w:r>
          </w:p>
        </w:tc>
        <w:tc>
          <w:tcPr>
            <w:tcW w:w="901" w:type="dxa"/>
            <w:noWrap w:val="0"/>
            <w:vAlign w:val="center"/>
          </w:tcPr>
          <w:p w14:paraId="58E92EAC">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2FBCD4A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36E0DB81">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1B4BDFA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61F1DBE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65FA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7E13C24C">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2</w:t>
            </w:r>
          </w:p>
        </w:tc>
        <w:tc>
          <w:tcPr>
            <w:tcW w:w="4634" w:type="dxa"/>
            <w:noWrap w:val="0"/>
            <w:vAlign w:val="center"/>
          </w:tcPr>
          <w:p w14:paraId="62E60E5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着装规范整洁，仪表端庄，统一穿工作服，佩戴工作牌。</w:t>
            </w:r>
          </w:p>
        </w:tc>
        <w:tc>
          <w:tcPr>
            <w:tcW w:w="901" w:type="dxa"/>
            <w:noWrap w:val="0"/>
            <w:vAlign w:val="center"/>
          </w:tcPr>
          <w:p w14:paraId="6845702F">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00050C01">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604B278C">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58C364D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59884BD9">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5C80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7FAF2228">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3</w:t>
            </w:r>
          </w:p>
        </w:tc>
        <w:tc>
          <w:tcPr>
            <w:tcW w:w="4634" w:type="dxa"/>
            <w:noWrap w:val="0"/>
            <w:vAlign w:val="center"/>
          </w:tcPr>
          <w:p w14:paraId="24ABDC8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工作积极主动，热情，虚心接受意见，积极配合医疗护理工作。</w:t>
            </w:r>
          </w:p>
        </w:tc>
        <w:tc>
          <w:tcPr>
            <w:tcW w:w="901" w:type="dxa"/>
            <w:noWrap w:val="0"/>
            <w:vAlign w:val="center"/>
          </w:tcPr>
          <w:p w14:paraId="2F7905D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0480F29F">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659EC1D3">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114C3D2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3E9C7CDC">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4F3F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1B02F508">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4</w:t>
            </w:r>
          </w:p>
        </w:tc>
        <w:tc>
          <w:tcPr>
            <w:tcW w:w="4634" w:type="dxa"/>
            <w:noWrap w:val="0"/>
            <w:vAlign w:val="center"/>
          </w:tcPr>
          <w:p w14:paraId="11F2F87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医疗护理员服务技能熟练程度，了解科室基本医疗常识、基础卫生知识。</w:t>
            </w:r>
          </w:p>
        </w:tc>
        <w:tc>
          <w:tcPr>
            <w:tcW w:w="901" w:type="dxa"/>
            <w:noWrap w:val="0"/>
            <w:vAlign w:val="center"/>
          </w:tcPr>
          <w:p w14:paraId="36691F01">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7C43AF33">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5A0D1CF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4FCB7BA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229A0A1F">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4DAE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297E76B9">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5</w:t>
            </w:r>
          </w:p>
        </w:tc>
        <w:tc>
          <w:tcPr>
            <w:tcW w:w="4634" w:type="dxa"/>
            <w:noWrap w:val="0"/>
            <w:vAlign w:val="center"/>
          </w:tcPr>
          <w:p w14:paraId="78B1EC2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能严格遵守消毒隔离制度，执行预防交叉感染的防护措施。</w:t>
            </w:r>
          </w:p>
        </w:tc>
        <w:tc>
          <w:tcPr>
            <w:tcW w:w="901" w:type="dxa"/>
            <w:noWrap w:val="0"/>
            <w:vAlign w:val="center"/>
          </w:tcPr>
          <w:p w14:paraId="09B83680">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75AD444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3A6BE9AA">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2B47379E">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50269CC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3522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19A2D82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6</w:t>
            </w:r>
          </w:p>
        </w:tc>
        <w:tc>
          <w:tcPr>
            <w:tcW w:w="4634" w:type="dxa"/>
            <w:noWrap w:val="0"/>
            <w:vAlign w:val="center"/>
          </w:tcPr>
          <w:p w14:paraId="5C9ADDB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悉心照护患者，有问题能及时向医务人员报告患者的异常情况。</w:t>
            </w:r>
          </w:p>
        </w:tc>
        <w:tc>
          <w:tcPr>
            <w:tcW w:w="901" w:type="dxa"/>
            <w:noWrap w:val="0"/>
            <w:vAlign w:val="center"/>
          </w:tcPr>
          <w:p w14:paraId="4CAF9778">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633F09FE">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6047DEE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2B39C434">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45B4BC4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20C6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67FA1DC3">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7</w:t>
            </w:r>
          </w:p>
        </w:tc>
        <w:tc>
          <w:tcPr>
            <w:tcW w:w="4634" w:type="dxa"/>
            <w:noWrap w:val="0"/>
            <w:vAlign w:val="center"/>
          </w:tcPr>
          <w:p w14:paraId="584C634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礼貌待人，微笑服务，保护患者隐私及病情，无与患者争吵或打架。</w:t>
            </w:r>
          </w:p>
        </w:tc>
        <w:tc>
          <w:tcPr>
            <w:tcW w:w="901" w:type="dxa"/>
            <w:noWrap w:val="0"/>
            <w:vAlign w:val="center"/>
          </w:tcPr>
          <w:p w14:paraId="57FDD10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56CA1508">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1106928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045608F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53559CE1">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1970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30081E0C">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8</w:t>
            </w:r>
          </w:p>
        </w:tc>
        <w:tc>
          <w:tcPr>
            <w:tcW w:w="4634" w:type="dxa"/>
            <w:noWrap w:val="0"/>
            <w:vAlign w:val="center"/>
          </w:tcPr>
          <w:p w14:paraId="741A6DD0">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按照《医疗护理员护理服务协议》的照护级别，做好相应级别的护理服务工作。</w:t>
            </w:r>
          </w:p>
        </w:tc>
        <w:tc>
          <w:tcPr>
            <w:tcW w:w="901" w:type="dxa"/>
            <w:noWrap w:val="0"/>
            <w:vAlign w:val="center"/>
          </w:tcPr>
          <w:p w14:paraId="79301C6A">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41FE6A6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1F3B2BA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46C11B3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297C7D54">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104C4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270C184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9</w:t>
            </w:r>
          </w:p>
        </w:tc>
        <w:tc>
          <w:tcPr>
            <w:tcW w:w="4634" w:type="dxa"/>
            <w:noWrap w:val="0"/>
            <w:vAlign w:val="center"/>
          </w:tcPr>
          <w:p w14:paraId="6384DF08">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无串岗、缺岗，上班时间不做与工作无关的事情，如：玩手机、看电视、聚众闲聊或嬉闹等。</w:t>
            </w:r>
          </w:p>
        </w:tc>
        <w:tc>
          <w:tcPr>
            <w:tcW w:w="901" w:type="dxa"/>
            <w:noWrap w:val="0"/>
            <w:vAlign w:val="center"/>
          </w:tcPr>
          <w:p w14:paraId="2944593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581F6A0E">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7E4C3083">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24DBD92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5FE572CA">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4C15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993" w:type="dxa"/>
            <w:noWrap w:val="0"/>
            <w:vAlign w:val="center"/>
          </w:tcPr>
          <w:p w14:paraId="1B32D810">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10</w:t>
            </w:r>
          </w:p>
        </w:tc>
        <w:tc>
          <w:tcPr>
            <w:tcW w:w="4634" w:type="dxa"/>
            <w:noWrap w:val="0"/>
            <w:vAlign w:val="center"/>
          </w:tcPr>
          <w:p w14:paraId="1870B64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您对医疗护理员的总体服务评价。</w:t>
            </w:r>
          </w:p>
        </w:tc>
        <w:tc>
          <w:tcPr>
            <w:tcW w:w="901" w:type="dxa"/>
            <w:noWrap w:val="0"/>
            <w:vAlign w:val="center"/>
          </w:tcPr>
          <w:p w14:paraId="3B39F2B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184DC228">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36B2F1A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110FA45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0541DE1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3B02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0" w:hRule="atLeast"/>
          <w:jc w:val="center"/>
        </w:trPr>
        <w:tc>
          <w:tcPr>
            <w:tcW w:w="993" w:type="dxa"/>
            <w:noWrap w:val="0"/>
            <w:vAlign w:val="center"/>
          </w:tcPr>
          <w:p w14:paraId="397D86C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11</w:t>
            </w:r>
          </w:p>
        </w:tc>
        <w:tc>
          <w:tcPr>
            <w:tcW w:w="9346" w:type="dxa"/>
            <w:gridSpan w:val="6"/>
            <w:noWrap w:val="0"/>
            <w:vAlign w:val="top"/>
          </w:tcPr>
          <w:p w14:paraId="22ED96C1">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r>
              <w:rPr>
                <w:rFonts w:hint="eastAsia" w:ascii="仿宋" w:hAnsi="仿宋" w:eastAsia="仿宋" w:cs="仿宋"/>
                <w:sz w:val="24"/>
                <w:szCs w:val="24"/>
              </w:rPr>
              <w:t>请提出指导意见和改进建议：</w:t>
            </w:r>
          </w:p>
        </w:tc>
      </w:tr>
    </w:tbl>
    <w:p w14:paraId="125C541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方正仿宋_GBK"/>
          <w:spacing w:val="1"/>
          <w:kern w:val="0"/>
          <w:sz w:val="18"/>
          <w:szCs w:val="18"/>
        </w:rPr>
      </w:pPr>
      <w:r>
        <w:rPr>
          <w:rFonts w:hint="eastAsia" w:ascii="Times New Roman" w:hAnsi="Times New Roman" w:eastAsia="方正仿宋_GBK"/>
          <w:spacing w:val="1"/>
          <w:kern w:val="0"/>
          <w:sz w:val="18"/>
          <w:szCs w:val="18"/>
        </w:rPr>
        <w:t xml:space="preserve"> </w:t>
      </w:r>
      <w:r>
        <w:rPr>
          <w:rFonts w:hint="eastAsia" w:ascii="仿宋" w:hAnsi="仿宋" w:eastAsia="仿宋" w:cs="仿宋"/>
          <w:b/>
          <w:bCs/>
          <w:spacing w:val="1"/>
          <w:kern w:val="0"/>
          <w:sz w:val="28"/>
          <w:szCs w:val="28"/>
        </w:rPr>
        <w:t>注：</w:t>
      </w:r>
      <w:r>
        <w:rPr>
          <w:rFonts w:hint="eastAsia" w:ascii="仿宋" w:hAnsi="仿宋" w:eastAsia="仿宋" w:cs="仿宋"/>
          <w:spacing w:val="1"/>
          <w:kern w:val="0"/>
          <w:sz w:val="28"/>
          <w:szCs w:val="28"/>
        </w:rPr>
        <w:t>医疗护理员服务质量满意度在同一年度内累计3次综合评价为“一般”及以下评价的，由陪护服务机构重新组织培训，考核合格后方可继续上岗。</w:t>
      </w:r>
    </w:p>
    <w:p w14:paraId="05C871DB">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b/>
          <w:bCs/>
          <w:spacing w:val="1"/>
          <w:kern w:val="0"/>
          <w:sz w:val="30"/>
          <w:szCs w:val="30"/>
        </w:rPr>
      </w:pPr>
    </w:p>
    <w:p w14:paraId="45137F3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30"/>
          <w:szCs w:val="30"/>
        </w:rPr>
      </w:pPr>
      <w:r>
        <w:rPr>
          <w:rFonts w:hint="eastAsia" w:ascii="仿宋" w:hAnsi="仿宋" w:eastAsia="仿宋" w:cs="仿宋"/>
          <w:b/>
          <w:bCs/>
          <w:spacing w:val="1"/>
          <w:kern w:val="0"/>
          <w:sz w:val="30"/>
          <w:szCs w:val="30"/>
        </w:rPr>
        <w:t>调查时间：                调查人：</w:t>
      </w:r>
    </w:p>
    <w:p w14:paraId="73721CDA">
      <w:pPr>
        <w:keepNext w:val="0"/>
        <w:keepLines w:val="0"/>
        <w:pageBreakBefore w:val="0"/>
        <w:widowControl w:val="0"/>
        <w:kinsoku/>
        <w:wordWrap/>
        <w:overflowPunct/>
        <w:topLinePunct w:val="0"/>
        <w:autoSpaceDE w:val="0"/>
        <w:autoSpaceDN/>
        <w:bidi w:val="0"/>
        <w:adjustRightInd w:val="0"/>
        <w:snapToGrid w:val="0"/>
        <w:spacing w:line="520" w:lineRule="exact"/>
        <w:jc w:val="center"/>
        <w:textAlignment w:val="auto"/>
        <w:rPr>
          <w:rFonts w:hint="eastAsia" w:ascii="黑体" w:hAnsi="黑体" w:eastAsia="黑体" w:cs="黑体"/>
          <w:b/>
          <w:bCs w:val="0"/>
          <w:spacing w:val="1"/>
          <w:kern w:val="0"/>
          <w:sz w:val="36"/>
          <w:szCs w:val="36"/>
          <w:lang w:val="en-US" w:eastAsia="zh-CN"/>
        </w:rPr>
      </w:pPr>
      <w:r>
        <w:rPr>
          <w:rFonts w:hint="eastAsia" w:ascii="Times New Roman" w:hAnsi="Times New Roman" w:eastAsia="方正仿宋_GBK" w:cs="宋体"/>
          <w:bCs/>
          <w:spacing w:val="1"/>
          <w:kern w:val="0"/>
        </w:rPr>
        <w:br w:type="page"/>
      </w:r>
      <w:r>
        <w:rPr>
          <w:rFonts w:hint="eastAsia" w:ascii="黑体" w:hAnsi="黑体" w:eastAsia="黑体" w:cs="黑体"/>
          <w:b/>
          <w:bCs w:val="0"/>
          <w:spacing w:val="1"/>
          <w:kern w:val="0"/>
          <w:sz w:val="32"/>
          <w:szCs w:val="32"/>
          <w:lang w:val="en-US" w:eastAsia="zh-CN"/>
        </w:rPr>
        <w:t>附件5：</w:t>
      </w:r>
      <w:r>
        <w:rPr>
          <w:rFonts w:hint="eastAsia" w:ascii="黑体" w:hAnsi="黑体" w:eastAsia="黑体" w:cs="黑体"/>
          <w:b/>
          <w:bCs w:val="0"/>
          <w:spacing w:val="1"/>
          <w:kern w:val="0"/>
          <w:sz w:val="36"/>
          <w:szCs w:val="36"/>
          <w:lang w:val="en-US" w:eastAsia="zh-CN"/>
        </w:rPr>
        <w:t>桂林市中西医结合医院</w:t>
      </w:r>
    </w:p>
    <w:p w14:paraId="7D487637">
      <w:pPr>
        <w:keepNext w:val="0"/>
        <w:keepLines w:val="0"/>
        <w:pageBreakBefore w:val="0"/>
        <w:widowControl w:val="0"/>
        <w:kinsoku/>
        <w:wordWrap/>
        <w:overflowPunct/>
        <w:topLinePunct w:val="0"/>
        <w:autoSpaceDE w:val="0"/>
        <w:autoSpaceDN/>
        <w:bidi w:val="0"/>
        <w:adjustRightInd w:val="0"/>
        <w:snapToGrid w:val="0"/>
        <w:spacing w:line="520" w:lineRule="exact"/>
        <w:jc w:val="center"/>
        <w:textAlignment w:val="auto"/>
        <w:rPr>
          <w:rFonts w:hint="eastAsia" w:ascii="Times New Roman" w:hAnsi="Times New Roman" w:eastAsia="方正小标宋_GBK"/>
          <w:sz w:val="44"/>
          <w:szCs w:val="44"/>
        </w:rPr>
      </w:pPr>
      <w:r>
        <w:rPr>
          <w:rFonts w:hint="eastAsia" w:ascii="黑体" w:hAnsi="黑体" w:eastAsia="黑体" w:cs="黑体"/>
          <w:b/>
          <w:bCs w:val="0"/>
          <w:sz w:val="36"/>
          <w:szCs w:val="36"/>
        </w:rPr>
        <w:t>医疗护理员辅助护理服务满意度调查表</w:t>
      </w:r>
    </w:p>
    <w:p w14:paraId="14FAC08B">
      <w:pPr>
        <w:keepNext w:val="0"/>
        <w:keepLines w:val="0"/>
        <w:pageBreakBefore w:val="0"/>
        <w:widowControl w:val="0"/>
        <w:kinsoku/>
        <w:wordWrap/>
        <w:overflowPunct/>
        <w:topLinePunct w:val="0"/>
        <w:autoSpaceDN/>
        <w:bidi w:val="0"/>
        <w:adjustRightInd w:val="0"/>
        <w:snapToGrid w:val="0"/>
        <w:spacing w:line="520" w:lineRule="exact"/>
        <w:jc w:val="center"/>
        <w:textAlignment w:val="auto"/>
        <w:rPr>
          <w:rFonts w:hint="eastAsia" w:ascii="Times New Roman" w:hAnsi="Times New Roman" w:eastAsia="方正仿宋_GBK"/>
          <w:sz w:val="18"/>
          <w:szCs w:val="18"/>
        </w:rPr>
      </w:pPr>
      <w:r>
        <w:rPr>
          <w:rFonts w:hint="eastAsia" w:ascii="Times New Roman" w:hAnsi="Times New Roman" w:eastAsia="方正楷体_GBK"/>
          <w:bCs/>
          <w:color w:val="FF0000"/>
          <w:sz w:val="32"/>
          <w:szCs w:val="32"/>
        </w:rPr>
        <w:t>（患者及家属填写）</w:t>
      </w:r>
    </w:p>
    <w:p w14:paraId="6817B8B3">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30"/>
          <w:szCs w:val="30"/>
        </w:rPr>
      </w:pPr>
      <w:r>
        <w:rPr>
          <w:rFonts w:hint="eastAsia" w:ascii="仿宋" w:hAnsi="仿宋" w:eastAsia="仿宋" w:cs="仿宋"/>
          <w:sz w:val="30"/>
          <w:szCs w:val="30"/>
        </w:rPr>
        <w:t>尊敬的患者/家属，您好！</w:t>
      </w:r>
    </w:p>
    <w:p w14:paraId="19301C6A">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为提高医疗护理员的服务质量，更好地为您服务，请您如实填写此表（在选项上打“√”，并对医疗护理员的工作提出宝贵意见和建议，谢谢您的合作！祝您早日康复！</w:t>
      </w:r>
    </w:p>
    <w:p w14:paraId="39FED24C">
      <w:pPr>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Times New Roman" w:hAnsi="Times New Roman" w:eastAsia="方正仿宋_GBK"/>
        </w:rPr>
      </w:pPr>
      <w:r>
        <w:rPr>
          <w:rFonts w:hint="eastAsia" w:ascii="仿宋" w:hAnsi="仿宋" w:eastAsia="仿宋" w:cs="仿宋"/>
          <w:b/>
          <w:bCs/>
          <w:sz w:val="30"/>
          <w:szCs w:val="30"/>
          <w:lang w:val="en-US" w:eastAsia="zh-CN"/>
        </w:rPr>
        <w:t>科室</w:t>
      </w:r>
      <w:r>
        <w:rPr>
          <w:rFonts w:hint="eastAsia" w:ascii="仿宋" w:hAnsi="仿宋" w:eastAsia="仿宋" w:cs="仿宋"/>
          <w:b/>
          <w:bCs/>
          <w:sz w:val="30"/>
          <w:szCs w:val="30"/>
        </w:rPr>
        <w:t xml:space="preserve">名称：             床号：      </w:t>
      </w:r>
      <w:r>
        <w:rPr>
          <w:rFonts w:hint="eastAsia" w:ascii="仿宋" w:hAnsi="仿宋" w:eastAsia="仿宋" w:cs="仿宋"/>
          <w:b/>
          <w:bCs/>
          <w:sz w:val="30"/>
          <w:szCs w:val="30"/>
          <w:lang w:val="en-US" w:eastAsia="zh-CN"/>
        </w:rPr>
        <w:t xml:space="preserve"> </w:t>
      </w:r>
      <w:r>
        <w:rPr>
          <w:rFonts w:hint="eastAsia" w:ascii="仿宋" w:hAnsi="仿宋" w:eastAsia="仿宋" w:cs="仿宋"/>
          <w:b/>
          <w:bCs/>
          <w:sz w:val="30"/>
          <w:szCs w:val="30"/>
        </w:rPr>
        <w:t>医疗护理员姓名：</w:t>
      </w:r>
    </w:p>
    <w:tbl>
      <w:tblPr>
        <w:tblStyle w:val="18"/>
        <w:tblW w:w="101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0"/>
        <w:gridCol w:w="4672"/>
        <w:gridCol w:w="738"/>
        <w:gridCol w:w="1066"/>
        <w:gridCol w:w="667"/>
        <w:gridCol w:w="1083"/>
        <w:gridCol w:w="822"/>
      </w:tblGrid>
      <w:tr w14:paraId="45879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vMerge w:val="restart"/>
            <w:noWrap w:val="0"/>
            <w:vAlign w:val="center"/>
          </w:tcPr>
          <w:p w14:paraId="1B352D2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序号</w:t>
            </w:r>
          </w:p>
        </w:tc>
        <w:tc>
          <w:tcPr>
            <w:tcW w:w="4672" w:type="dxa"/>
            <w:vMerge w:val="restart"/>
            <w:noWrap w:val="0"/>
            <w:vAlign w:val="center"/>
          </w:tcPr>
          <w:p w14:paraId="338A562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ind w:left="1295" w:firstLine="458" w:firstLineChars="200"/>
              <w:jc w:val="both"/>
              <w:textAlignment w:val="auto"/>
              <w:rPr>
                <w:rFonts w:hint="eastAsia" w:ascii="仿宋" w:hAnsi="仿宋" w:eastAsia="仿宋" w:cs="仿宋"/>
                <w:b/>
                <w:bCs w:val="0"/>
                <w:sz w:val="24"/>
                <w:szCs w:val="24"/>
              </w:rPr>
            </w:pPr>
            <w:r>
              <w:rPr>
                <w:rFonts w:hint="eastAsia" w:ascii="仿宋" w:hAnsi="仿宋" w:eastAsia="仿宋" w:cs="仿宋"/>
                <w:b/>
                <w:bCs w:val="0"/>
                <w:spacing w:val="-6"/>
                <w:sz w:val="24"/>
                <w:szCs w:val="24"/>
              </w:rPr>
              <w:t>调查内容</w:t>
            </w:r>
          </w:p>
        </w:tc>
        <w:tc>
          <w:tcPr>
            <w:tcW w:w="4376" w:type="dxa"/>
            <w:gridSpan w:val="5"/>
            <w:noWrap w:val="0"/>
            <w:vAlign w:val="center"/>
          </w:tcPr>
          <w:p w14:paraId="470DFE1A">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ind w:left="228"/>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满意度</w:t>
            </w:r>
          </w:p>
        </w:tc>
      </w:tr>
      <w:tr w14:paraId="1294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vMerge w:val="continue"/>
            <w:noWrap w:val="0"/>
            <w:vAlign w:val="center"/>
          </w:tcPr>
          <w:p w14:paraId="66A90C74">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b/>
                <w:bCs w:val="0"/>
                <w:kern w:val="0"/>
                <w:sz w:val="24"/>
                <w:szCs w:val="24"/>
              </w:rPr>
            </w:pPr>
          </w:p>
        </w:tc>
        <w:tc>
          <w:tcPr>
            <w:tcW w:w="4672" w:type="dxa"/>
            <w:vMerge w:val="continue"/>
            <w:noWrap w:val="0"/>
            <w:vAlign w:val="center"/>
          </w:tcPr>
          <w:p w14:paraId="36741A9B">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b/>
                <w:bCs w:val="0"/>
                <w:kern w:val="0"/>
                <w:sz w:val="24"/>
                <w:szCs w:val="24"/>
              </w:rPr>
            </w:pPr>
          </w:p>
        </w:tc>
        <w:tc>
          <w:tcPr>
            <w:tcW w:w="738" w:type="dxa"/>
            <w:noWrap w:val="0"/>
            <w:vAlign w:val="center"/>
          </w:tcPr>
          <w:p w14:paraId="2EE5D72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jc w:val="center"/>
              <w:textAlignment w:val="auto"/>
              <w:rPr>
                <w:rFonts w:hint="eastAsia" w:ascii="仿宋" w:hAnsi="仿宋" w:eastAsia="仿宋" w:cs="仿宋"/>
                <w:b/>
                <w:bCs w:val="0"/>
                <w:spacing w:val="9"/>
                <w:sz w:val="24"/>
                <w:szCs w:val="24"/>
              </w:rPr>
            </w:pPr>
            <w:r>
              <w:rPr>
                <w:rFonts w:hint="eastAsia" w:ascii="仿宋" w:hAnsi="仿宋" w:eastAsia="仿宋" w:cs="仿宋"/>
                <w:b/>
                <w:bCs w:val="0"/>
                <w:spacing w:val="9"/>
                <w:sz w:val="24"/>
                <w:szCs w:val="24"/>
              </w:rPr>
              <w:t>满意</w:t>
            </w:r>
          </w:p>
        </w:tc>
        <w:tc>
          <w:tcPr>
            <w:tcW w:w="1066" w:type="dxa"/>
            <w:noWrap w:val="0"/>
            <w:vAlign w:val="center"/>
          </w:tcPr>
          <w:p w14:paraId="67AC3D1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jc w:val="center"/>
              <w:textAlignment w:val="auto"/>
              <w:rPr>
                <w:rFonts w:hint="eastAsia" w:ascii="仿宋" w:hAnsi="仿宋" w:eastAsia="仿宋" w:cs="仿宋"/>
                <w:b/>
                <w:bCs w:val="0"/>
                <w:spacing w:val="6"/>
                <w:sz w:val="24"/>
                <w:szCs w:val="24"/>
              </w:rPr>
            </w:pPr>
            <w:r>
              <w:rPr>
                <w:rFonts w:hint="eastAsia" w:ascii="仿宋" w:hAnsi="仿宋" w:eastAsia="仿宋" w:cs="仿宋"/>
                <w:b/>
                <w:bCs w:val="0"/>
                <w:spacing w:val="6"/>
                <w:sz w:val="24"/>
                <w:szCs w:val="24"/>
              </w:rPr>
              <w:t>比较满意</w:t>
            </w:r>
          </w:p>
        </w:tc>
        <w:tc>
          <w:tcPr>
            <w:tcW w:w="667" w:type="dxa"/>
            <w:noWrap w:val="0"/>
            <w:vAlign w:val="center"/>
          </w:tcPr>
          <w:p w14:paraId="22E6BDDC">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jc w:val="center"/>
              <w:textAlignment w:val="auto"/>
              <w:rPr>
                <w:rFonts w:hint="eastAsia" w:ascii="仿宋" w:hAnsi="仿宋" w:eastAsia="仿宋" w:cs="仿宋"/>
                <w:b/>
                <w:bCs w:val="0"/>
                <w:spacing w:val="6"/>
                <w:sz w:val="24"/>
                <w:szCs w:val="24"/>
              </w:rPr>
            </w:pPr>
            <w:r>
              <w:rPr>
                <w:rFonts w:hint="eastAsia" w:ascii="仿宋" w:hAnsi="仿宋" w:eastAsia="仿宋" w:cs="仿宋"/>
                <w:b/>
                <w:bCs w:val="0"/>
                <w:spacing w:val="6"/>
                <w:sz w:val="24"/>
                <w:szCs w:val="24"/>
              </w:rPr>
              <w:t>一般</w:t>
            </w:r>
          </w:p>
        </w:tc>
        <w:tc>
          <w:tcPr>
            <w:tcW w:w="1083" w:type="dxa"/>
            <w:noWrap w:val="0"/>
            <w:vAlign w:val="center"/>
          </w:tcPr>
          <w:p w14:paraId="6A0517A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jc w:val="center"/>
              <w:textAlignment w:val="auto"/>
              <w:rPr>
                <w:rFonts w:hint="eastAsia" w:ascii="仿宋" w:hAnsi="仿宋" w:eastAsia="仿宋" w:cs="仿宋"/>
                <w:b/>
                <w:bCs w:val="0"/>
                <w:spacing w:val="5"/>
                <w:sz w:val="24"/>
                <w:szCs w:val="24"/>
              </w:rPr>
            </w:pPr>
            <w:r>
              <w:rPr>
                <w:rFonts w:hint="eastAsia" w:ascii="仿宋" w:hAnsi="仿宋" w:eastAsia="仿宋" w:cs="仿宋"/>
                <w:b/>
                <w:bCs w:val="0"/>
                <w:spacing w:val="5"/>
                <w:sz w:val="24"/>
                <w:szCs w:val="24"/>
              </w:rPr>
              <w:t>不太满意</w:t>
            </w:r>
          </w:p>
        </w:tc>
        <w:tc>
          <w:tcPr>
            <w:tcW w:w="822" w:type="dxa"/>
            <w:noWrap w:val="0"/>
            <w:vAlign w:val="center"/>
          </w:tcPr>
          <w:p w14:paraId="4FDE76D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jc w:val="center"/>
              <w:textAlignment w:val="auto"/>
              <w:rPr>
                <w:rFonts w:hint="eastAsia" w:ascii="仿宋" w:hAnsi="仿宋" w:eastAsia="仿宋" w:cs="仿宋"/>
                <w:b/>
                <w:bCs w:val="0"/>
                <w:spacing w:val="7"/>
                <w:sz w:val="24"/>
                <w:szCs w:val="24"/>
              </w:rPr>
            </w:pPr>
            <w:r>
              <w:rPr>
                <w:rFonts w:hint="eastAsia" w:ascii="仿宋" w:hAnsi="仿宋" w:eastAsia="仿宋" w:cs="仿宋"/>
                <w:b/>
                <w:bCs w:val="0"/>
                <w:spacing w:val="7"/>
                <w:sz w:val="24"/>
                <w:szCs w:val="24"/>
              </w:rPr>
              <w:t>不满意</w:t>
            </w:r>
          </w:p>
        </w:tc>
      </w:tr>
      <w:tr w14:paraId="55EB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23C44DBF">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w:t>
            </w:r>
          </w:p>
        </w:tc>
        <w:tc>
          <w:tcPr>
            <w:tcW w:w="4672" w:type="dxa"/>
            <w:noWrap w:val="0"/>
            <w:vAlign w:val="center"/>
          </w:tcPr>
          <w:p w14:paraId="5596A76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严格遵守医院、科室有关规章制度。</w:t>
            </w:r>
          </w:p>
        </w:tc>
        <w:tc>
          <w:tcPr>
            <w:tcW w:w="738" w:type="dxa"/>
            <w:noWrap w:val="0"/>
            <w:vAlign w:val="center"/>
          </w:tcPr>
          <w:p w14:paraId="22560382">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2C056EEB">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15AE4391">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57EEFB5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12AAFBAE">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6327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732D8EF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2</w:t>
            </w:r>
          </w:p>
        </w:tc>
        <w:tc>
          <w:tcPr>
            <w:tcW w:w="4672" w:type="dxa"/>
            <w:noWrap w:val="0"/>
            <w:vAlign w:val="center"/>
          </w:tcPr>
          <w:p w14:paraId="03DFEAE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医疗护理员主动跟您介绍照护级别、服务内容及收费标准。</w:t>
            </w:r>
          </w:p>
        </w:tc>
        <w:tc>
          <w:tcPr>
            <w:tcW w:w="738" w:type="dxa"/>
            <w:noWrap w:val="0"/>
            <w:vAlign w:val="center"/>
          </w:tcPr>
          <w:p w14:paraId="3AF31B71">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3423ED1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284A9D1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71AE3BE6">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268CDB2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6B3E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3202FC33">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3</w:t>
            </w:r>
          </w:p>
        </w:tc>
        <w:tc>
          <w:tcPr>
            <w:tcW w:w="4672" w:type="dxa"/>
            <w:noWrap w:val="0"/>
            <w:vAlign w:val="center"/>
          </w:tcPr>
          <w:p w14:paraId="5418ABB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按照《医疗护理员护理服务协议》的照护级别，做好相应级别的护理服务工作。</w:t>
            </w:r>
          </w:p>
        </w:tc>
        <w:tc>
          <w:tcPr>
            <w:tcW w:w="738" w:type="dxa"/>
            <w:noWrap w:val="0"/>
            <w:vAlign w:val="center"/>
          </w:tcPr>
          <w:p w14:paraId="4AD5E1E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5245713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2553410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754EAF19">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4A6B4745">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08B3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13928A6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4</w:t>
            </w:r>
          </w:p>
        </w:tc>
        <w:tc>
          <w:tcPr>
            <w:tcW w:w="4672" w:type="dxa"/>
            <w:noWrap w:val="0"/>
            <w:vAlign w:val="center"/>
          </w:tcPr>
          <w:p w14:paraId="1D6044B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医疗护理员为您打扫或整理床单、枕套、被子。</w:t>
            </w:r>
          </w:p>
        </w:tc>
        <w:tc>
          <w:tcPr>
            <w:tcW w:w="738" w:type="dxa"/>
            <w:noWrap w:val="0"/>
            <w:vAlign w:val="center"/>
          </w:tcPr>
          <w:p w14:paraId="3C031F7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0E37C547">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74F642A5">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580C8D17">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0A020025">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29F6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28C093C1">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5</w:t>
            </w:r>
          </w:p>
        </w:tc>
        <w:tc>
          <w:tcPr>
            <w:tcW w:w="4672" w:type="dxa"/>
            <w:noWrap w:val="0"/>
            <w:vAlign w:val="center"/>
          </w:tcPr>
          <w:p w14:paraId="64438C8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具备保护患者安全的意识，无导致患者跌倒、坠床、压力性损伤等不良事件发生。</w:t>
            </w:r>
          </w:p>
        </w:tc>
        <w:tc>
          <w:tcPr>
            <w:tcW w:w="738" w:type="dxa"/>
            <w:noWrap w:val="0"/>
            <w:vAlign w:val="center"/>
          </w:tcPr>
          <w:p w14:paraId="50F6B6C2">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3B438AA1">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5BA437E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58356BF8">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5DE5A96F">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654D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7FE2541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6</w:t>
            </w:r>
          </w:p>
        </w:tc>
        <w:tc>
          <w:tcPr>
            <w:tcW w:w="4672" w:type="dxa"/>
            <w:noWrap w:val="0"/>
            <w:vAlign w:val="center"/>
          </w:tcPr>
          <w:p w14:paraId="5102BB5E">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悉心照护患者，有问题能及时向医务人员报告患者的异常情况。</w:t>
            </w:r>
          </w:p>
        </w:tc>
        <w:tc>
          <w:tcPr>
            <w:tcW w:w="738" w:type="dxa"/>
            <w:noWrap w:val="0"/>
            <w:vAlign w:val="center"/>
          </w:tcPr>
          <w:p w14:paraId="14A5C707">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6C922562">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24C3A68E">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443F7252">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7720F91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1DFA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30E3F75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7</w:t>
            </w:r>
          </w:p>
        </w:tc>
        <w:tc>
          <w:tcPr>
            <w:tcW w:w="4672" w:type="dxa"/>
            <w:noWrap w:val="0"/>
            <w:vAlign w:val="center"/>
          </w:tcPr>
          <w:p w14:paraId="46DBE43E">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工作积极主动，热情，虚心接受意见，积极配合医疗护理工作。</w:t>
            </w:r>
          </w:p>
        </w:tc>
        <w:tc>
          <w:tcPr>
            <w:tcW w:w="738" w:type="dxa"/>
            <w:noWrap w:val="0"/>
            <w:vAlign w:val="center"/>
          </w:tcPr>
          <w:p w14:paraId="7D5A447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4939CBB9">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6F8C5579">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10CEE79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5F130E6F">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2F5A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01D8689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8</w:t>
            </w:r>
          </w:p>
        </w:tc>
        <w:tc>
          <w:tcPr>
            <w:tcW w:w="4672" w:type="dxa"/>
            <w:noWrap w:val="0"/>
            <w:vAlign w:val="center"/>
          </w:tcPr>
          <w:p w14:paraId="0AD0053F">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礼貌待人，微笑服务，保护患者隐私及病情，无与患者争吵或打架。</w:t>
            </w:r>
          </w:p>
        </w:tc>
        <w:tc>
          <w:tcPr>
            <w:tcW w:w="738" w:type="dxa"/>
            <w:noWrap w:val="0"/>
            <w:vAlign w:val="center"/>
          </w:tcPr>
          <w:p w14:paraId="2D06895A">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0367B208">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703A0B76">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0FB7CE0A">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79BB838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758D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1254385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9</w:t>
            </w:r>
          </w:p>
        </w:tc>
        <w:tc>
          <w:tcPr>
            <w:tcW w:w="4672" w:type="dxa"/>
            <w:noWrap w:val="0"/>
            <w:vAlign w:val="center"/>
          </w:tcPr>
          <w:p w14:paraId="70F051A4">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着装规范整洁，仪表端庄，统一穿工作服，佩戴工作牌。</w:t>
            </w:r>
          </w:p>
        </w:tc>
        <w:tc>
          <w:tcPr>
            <w:tcW w:w="738" w:type="dxa"/>
            <w:noWrap w:val="0"/>
            <w:vAlign w:val="center"/>
          </w:tcPr>
          <w:p w14:paraId="20C9F3E7">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6C5BA7BF">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28B26E81">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44530A0A">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10788985">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36DE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522915E9">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10</w:t>
            </w:r>
          </w:p>
        </w:tc>
        <w:tc>
          <w:tcPr>
            <w:tcW w:w="4672" w:type="dxa"/>
            <w:noWrap w:val="0"/>
            <w:vAlign w:val="center"/>
          </w:tcPr>
          <w:p w14:paraId="48EEF893">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按时到服务地点提供服务，无串岗、缺岗，上班时间不做与工作无关的事情，如：玩手机、看电视、聚众闲聊或嬉闹等。</w:t>
            </w:r>
          </w:p>
        </w:tc>
        <w:tc>
          <w:tcPr>
            <w:tcW w:w="738" w:type="dxa"/>
            <w:noWrap w:val="0"/>
            <w:vAlign w:val="center"/>
          </w:tcPr>
          <w:p w14:paraId="4441DE9A">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2644034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57D66BE5">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3A69354F">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1299C670">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23DD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1D80728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11</w:t>
            </w:r>
          </w:p>
        </w:tc>
        <w:tc>
          <w:tcPr>
            <w:tcW w:w="4672" w:type="dxa"/>
            <w:noWrap w:val="0"/>
            <w:vAlign w:val="center"/>
          </w:tcPr>
          <w:p w14:paraId="58C8521C">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医疗护理员无向您索取食品、礼物、钱财等现象。</w:t>
            </w:r>
          </w:p>
        </w:tc>
        <w:tc>
          <w:tcPr>
            <w:tcW w:w="738" w:type="dxa"/>
            <w:noWrap w:val="0"/>
            <w:vAlign w:val="center"/>
          </w:tcPr>
          <w:p w14:paraId="2A04F897">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5FF1506B">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3390B7EA">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026B9C9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17108F4B">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0066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jc w:val="center"/>
        </w:trPr>
        <w:tc>
          <w:tcPr>
            <w:tcW w:w="1080" w:type="dxa"/>
            <w:noWrap w:val="0"/>
            <w:vAlign w:val="center"/>
          </w:tcPr>
          <w:p w14:paraId="3D6EF9F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12</w:t>
            </w:r>
          </w:p>
        </w:tc>
        <w:tc>
          <w:tcPr>
            <w:tcW w:w="4672" w:type="dxa"/>
            <w:noWrap w:val="0"/>
            <w:vAlign w:val="center"/>
          </w:tcPr>
          <w:p w14:paraId="0575A2E9">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您对医疗护理员的服务质量总体评价。</w:t>
            </w:r>
          </w:p>
        </w:tc>
        <w:tc>
          <w:tcPr>
            <w:tcW w:w="738" w:type="dxa"/>
            <w:noWrap w:val="0"/>
            <w:vAlign w:val="center"/>
          </w:tcPr>
          <w:p w14:paraId="3BF88297">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263A0E1B">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616DD0A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07A094E8">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73DE697E">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5DD06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0438936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13</w:t>
            </w:r>
          </w:p>
        </w:tc>
        <w:tc>
          <w:tcPr>
            <w:tcW w:w="9048" w:type="dxa"/>
            <w:gridSpan w:val="6"/>
            <w:noWrap w:val="0"/>
            <w:vAlign w:val="center"/>
          </w:tcPr>
          <w:p w14:paraId="338C40A5">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意见和建议：</w:t>
            </w:r>
          </w:p>
          <w:p w14:paraId="78736D42">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p w14:paraId="2CE23A9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bl>
    <w:p w14:paraId="391CE7DA">
      <w:pPr>
        <w:keepNext w:val="0"/>
        <w:keepLines w:val="0"/>
        <w:pageBreakBefore w:val="0"/>
        <w:widowControl w:val="0"/>
        <w:kinsoku/>
        <w:wordWrap/>
        <w:overflowPunct/>
        <w:topLinePunct w:val="0"/>
        <w:autoSpaceDN/>
        <w:bidi w:val="0"/>
        <w:adjustRightInd w:val="0"/>
        <w:snapToGrid w:val="0"/>
        <w:spacing w:line="520" w:lineRule="exact"/>
        <w:textAlignment w:val="auto"/>
        <w:rPr>
          <w:rFonts w:hint="eastAsia" w:ascii="仿宋" w:hAnsi="仿宋" w:eastAsia="仿宋" w:cs="仿宋"/>
          <w:b/>
          <w:bCs/>
          <w:spacing w:val="1"/>
          <w:kern w:val="0"/>
          <w:sz w:val="30"/>
          <w:szCs w:val="30"/>
        </w:rPr>
      </w:pPr>
      <w:r>
        <w:rPr>
          <w:rFonts w:hint="eastAsia" w:ascii="仿宋" w:hAnsi="仿宋" w:eastAsia="仿宋" w:cs="仿宋"/>
          <w:b/>
          <w:bCs/>
          <w:spacing w:val="1"/>
          <w:kern w:val="0"/>
          <w:sz w:val="30"/>
          <w:szCs w:val="30"/>
        </w:rPr>
        <w:t>调查时间：          调查人：          患者/家属签字：</w:t>
      </w:r>
    </w:p>
    <w:p w14:paraId="26D0BB7B">
      <w:pPr>
        <w:tabs>
          <w:tab w:val="left" w:pos="1305"/>
        </w:tabs>
        <w:spacing w:line="400" w:lineRule="exact"/>
        <w:ind w:firstLine="422" w:firstLineChars="150"/>
        <w:rPr>
          <w:rStyle w:val="36"/>
          <w:rFonts w:hint="eastAsia" w:ascii="宋体" w:hAnsi="宋体"/>
          <w:b/>
          <w:color w:val="auto"/>
          <w:sz w:val="28"/>
          <w:szCs w:val="28"/>
          <w:lang w:val="en-US" w:eastAsia="zh-CN"/>
        </w:rPr>
      </w:pPr>
    </w:p>
    <w:p w14:paraId="5060902C">
      <w:pPr>
        <w:tabs>
          <w:tab w:val="left" w:pos="1305"/>
        </w:tabs>
        <w:spacing w:line="400" w:lineRule="exact"/>
        <w:ind w:firstLine="422" w:firstLineChars="150"/>
        <w:rPr>
          <w:rStyle w:val="36"/>
          <w:rFonts w:hint="eastAsia" w:ascii="宋体" w:hAnsi="宋体"/>
          <w:b/>
          <w:color w:val="auto"/>
          <w:sz w:val="28"/>
          <w:szCs w:val="28"/>
          <w:lang w:val="en-US" w:eastAsia="zh-CN"/>
        </w:rPr>
      </w:pPr>
      <w:r>
        <w:rPr>
          <w:rStyle w:val="36"/>
          <w:rFonts w:hint="eastAsia" w:ascii="宋体" w:hAnsi="宋体"/>
          <w:b/>
          <w:color w:val="auto"/>
          <w:sz w:val="28"/>
          <w:szCs w:val="28"/>
          <w:lang w:val="en-US" w:eastAsia="zh-CN"/>
        </w:rPr>
        <w:t>附件六：</w:t>
      </w:r>
    </w:p>
    <w:p w14:paraId="76660240">
      <w:pPr>
        <w:tabs>
          <w:tab w:val="left" w:pos="1305"/>
        </w:tabs>
        <w:spacing w:line="400" w:lineRule="exact"/>
        <w:ind w:firstLine="422" w:firstLineChars="150"/>
        <w:rPr>
          <w:rStyle w:val="36"/>
          <w:rFonts w:hAnsi="宋体"/>
          <w:color w:val="auto"/>
        </w:rPr>
      </w:pPr>
      <w:r>
        <w:rPr>
          <w:rStyle w:val="36"/>
          <w:rFonts w:hint="eastAsia" w:ascii="宋体" w:hAnsi="宋体"/>
          <w:b/>
          <w:color w:val="auto"/>
          <w:sz w:val="28"/>
          <w:szCs w:val="28"/>
          <w:lang w:val="en-US" w:eastAsia="zh-CN"/>
        </w:rPr>
        <w:t>一、</w:t>
      </w:r>
      <w:r>
        <w:rPr>
          <w:rStyle w:val="36"/>
          <w:rFonts w:ascii="宋体" w:hAnsi="宋体"/>
          <w:b/>
          <w:color w:val="auto"/>
          <w:sz w:val="28"/>
          <w:szCs w:val="28"/>
        </w:rPr>
        <w:t>资格性响应证明材料</w:t>
      </w:r>
    </w:p>
    <w:p w14:paraId="41B62DD6">
      <w:pPr>
        <w:tabs>
          <w:tab w:val="left" w:pos="1305"/>
        </w:tabs>
        <w:spacing w:line="400" w:lineRule="exact"/>
        <w:ind w:firstLine="420" w:firstLineChars="200"/>
        <w:rPr>
          <w:rStyle w:val="36"/>
          <w:rFonts w:ascii="宋体" w:hAnsi="宋体"/>
          <w:color w:val="auto"/>
          <w:szCs w:val="21"/>
        </w:rPr>
      </w:pPr>
      <w:r>
        <w:rPr>
          <w:rStyle w:val="36"/>
          <w:rFonts w:ascii="宋体" w:hAnsi="宋体"/>
          <w:color w:val="auto"/>
          <w:szCs w:val="21"/>
        </w:rPr>
        <w:t>1.</w:t>
      </w:r>
      <w:r>
        <w:rPr>
          <w:rStyle w:val="36"/>
          <w:rFonts w:hint="eastAsia" w:ascii="宋体" w:hAnsi="宋体"/>
          <w:color w:val="auto"/>
          <w:szCs w:val="21"/>
        </w:rPr>
        <w:t>供应商</w:t>
      </w:r>
      <w:r>
        <w:rPr>
          <w:rStyle w:val="36"/>
          <w:rFonts w:ascii="宋体" w:hAnsi="宋体"/>
          <w:color w:val="auto"/>
          <w:szCs w:val="21"/>
        </w:rPr>
        <w:t>相应的法定代表人、负责人、自然人</w:t>
      </w:r>
      <w:r>
        <w:rPr>
          <w:rStyle w:val="36"/>
          <w:rFonts w:ascii="宋体" w:hAnsi="宋体"/>
          <w:color w:val="auto"/>
        </w:rPr>
        <w:t>身份证正反面</w:t>
      </w:r>
      <w:r>
        <w:rPr>
          <w:rStyle w:val="36"/>
          <w:rFonts w:ascii="宋体" w:hAnsi="宋体"/>
          <w:color w:val="auto"/>
          <w:szCs w:val="21"/>
        </w:rPr>
        <w:t>复印件</w:t>
      </w:r>
    </w:p>
    <w:p w14:paraId="02BBC6F4">
      <w:pPr>
        <w:tabs>
          <w:tab w:val="left" w:pos="1305"/>
        </w:tabs>
        <w:spacing w:line="400" w:lineRule="exact"/>
        <w:ind w:firstLine="420" w:firstLineChars="200"/>
        <w:rPr>
          <w:rStyle w:val="36"/>
          <w:rFonts w:ascii="宋体" w:hAnsi="宋体"/>
          <w:color w:val="auto"/>
          <w:szCs w:val="21"/>
        </w:rPr>
      </w:pPr>
      <w:r>
        <w:rPr>
          <w:rStyle w:val="36"/>
          <w:rFonts w:ascii="宋体" w:hAnsi="宋体"/>
          <w:color w:val="auto"/>
          <w:szCs w:val="21"/>
        </w:rPr>
        <w:t>2.</w:t>
      </w:r>
      <w:r>
        <w:rPr>
          <w:rStyle w:val="36"/>
          <w:rFonts w:hint="eastAsia" w:ascii="宋体" w:hAnsi="宋体"/>
          <w:color w:val="auto"/>
          <w:szCs w:val="21"/>
        </w:rPr>
        <w:t>供应商</w:t>
      </w:r>
      <w:r>
        <w:rPr>
          <w:rStyle w:val="36"/>
          <w:rFonts w:ascii="宋体" w:hAnsi="宋体"/>
          <w:color w:val="auto"/>
          <w:szCs w:val="21"/>
        </w:rPr>
        <w:t>的授权委托书原件、委托代理人身份证正反面复印件</w:t>
      </w:r>
    </w:p>
    <w:p w14:paraId="569EBCE3">
      <w:pPr>
        <w:tabs>
          <w:tab w:val="left" w:pos="1305"/>
        </w:tabs>
        <w:spacing w:line="400" w:lineRule="exact"/>
        <w:ind w:firstLine="420" w:firstLineChars="200"/>
        <w:rPr>
          <w:rStyle w:val="36"/>
          <w:rFonts w:ascii="宋体" w:hAnsi="宋体"/>
          <w:color w:val="auto"/>
          <w:szCs w:val="21"/>
        </w:rPr>
      </w:pPr>
      <w:r>
        <w:rPr>
          <w:rStyle w:val="36"/>
          <w:rFonts w:ascii="宋体" w:hAnsi="宋体"/>
          <w:color w:val="auto"/>
          <w:szCs w:val="21"/>
        </w:rPr>
        <w:t>3.</w:t>
      </w:r>
      <w:r>
        <w:rPr>
          <w:rStyle w:val="36"/>
          <w:rFonts w:hint="eastAsia" w:ascii="宋体" w:hAnsi="宋体"/>
          <w:color w:val="auto"/>
          <w:szCs w:val="21"/>
        </w:rPr>
        <w:t>供应商</w:t>
      </w:r>
      <w:r>
        <w:rPr>
          <w:rStyle w:val="36"/>
          <w:rFonts w:ascii="宋体" w:hAnsi="宋体"/>
          <w:color w:val="auto"/>
          <w:szCs w:val="21"/>
        </w:rPr>
        <w:t>的法人或者其他组织三证合一营业执照等证明文件</w:t>
      </w:r>
    </w:p>
    <w:p w14:paraId="11B00E8C">
      <w:pPr>
        <w:tabs>
          <w:tab w:val="left" w:pos="1305"/>
        </w:tabs>
        <w:spacing w:line="400" w:lineRule="exact"/>
        <w:ind w:firstLine="420" w:firstLineChars="200"/>
        <w:rPr>
          <w:rStyle w:val="36"/>
          <w:rFonts w:hint="eastAsia" w:ascii="宋体" w:hAnsi="宋体" w:eastAsia="宋体"/>
          <w:color w:val="auto"/>
          <w:szCs w:val="21"/>
          <w:lang w:val="en-US" w:eastAsia="zh-CN"/>
        </w:rPr>
      </w:pPr>
      <w:r>
        <w:rPr>
          <w:rStyle w:val="36"/>
          <w:rFonts w:ascii="宋体" w:hAnsi="宋体"/>
          <w:color w:val="auto"/>
          <w:szCs w:val="21"/>
        </w:rPr>
        <w:t>4.</w:t>
      </w:r>
      <w:r>
        <w:rPr>
          <w:rStyle w:val="36"/>
          <w:rFonts w:hint="eastAsia" w:ascii="宋体" w:hAnsi="宋体"/>
          <w:color w:val="auto"/>
          <w:szCs w:val="21"/>
        </w:rPr>
        <w:t>供应商</w:t>
      </w:r>
      <w:r>
        <w:rPr>
          <w:rStyle w:val="36"/>
          <w:rFonts w:ascii="宋体" w:hAnsi="宋体"/>
          <w:color w:val="auto"/>
          <w:szCs w:val="21"/>
        </w:rPr>
        <w:t>参加政府采购活动前3年内在经营活动中没有重大违法记录及有关信用信息的书面声明</w:t>
      </w:r>
      <w:r>
        <w:rPr>
          <w:rStyle w:val="36"/>
          <w:rFonts w:hint="eastAsia" w:ascii="宋体" w:hAnsi="宋体"/>
          <w:color w:val="auto"/>
          <w:szCs w:val="21"/>
          <w:lang w:val="en-US" w:eastAsia="zh-CN"/>
        </w:rPr>
        <w:t>等</w:t>
      </w:r>
    </w:p>
    <w:p w14:paraId="1EB6591A">
      <w:pPr>
        <w:pStyle w:val="39"/>
        <w:spacing w:line="400" w:lineRule="exact"/>
        <w:ind w:left="420" w:leftChars="200" w:firstLine="157" w:firstLineChars="49"/>
        <w:rPr>
          <w:rStyle w:val="36"/>
          <w:rFonts w:hAnsi="宋体"/>
          <w:b/>
          <w:color w:val="auto"/>
          <w:sz w:val="32"/>
          <w:szCs w:val="32"/>
        </w:rPr>
      </w:pPr>
    </w:p>
    <w:p w14:paraId="11BC92B4">
      <w:pPr>
        <w:pStyle w:val="39"/>
        <w:spacing w:line="400" w:lineRule="exact"/>
        <w:ind w:left="420" w:leftChars="200" w:firstLine="157" w:firstLineChars="49"/>
        <w:rPr>
          <w:rStyle w:val="36"/>
          <w:rFonts w:hAnsi="宋体"/>
          <w:b/>
          <w:color w:val="auto"/>
          <w:sz w:val="32"/>
          <w:szCs w:val="32"/>
        </w:rPr>
      </w:pPr>
    </w:p>
    <w:p w14:paraId="52634E58">
      <w:pPr>
        <w:pStyle w:val="39"/>
        <w:spacing w:line="400" w:lineRule="exact"/>
        <w:ind w:firstLine="482" w:firstLineChars="150"/>
        <w:rPr>
          <w:rStyle w:val="36"/>
          <w:rFonts w:hAnsi="宋体"/>
          <w:color w:val="auto"/>
          <w:sz w:val="24"/>
        </w:rPr>
      </w:pPr>
      <w:r>
        <w:rPr>
          <w:rStyle w:val="36"/>
          <w:rFonts w:hint="eastAsia"/>
          <w:b/>
          <w:color w:val="auto"/>
          <w:sz w:val="32"/>
          <w:szCs w:val="32"/>
        </w:rPr>
        <w:t>二</w:t>
      </w:r>
      <w:r>
        <w:rPr>
          <w:rStyle w:val="36"/>
          <w:b/>
          <w:color w:val="auto"/>
          <w:sz w:val="32"/>
          <w:szCs w:val="32"/>
        </w:rPr>
        <w:t>、资格性响应证明材料（格式）</w:t>
      </w:r>
    </w:p>
    <w:p w14:paraId="7455259E">
      <w:pPr>
        <w:pStyle w:val="39"/>
        <w:spacing w:line="400" w:lineRule="exact"/>
        <w:rPr>
          <w:rStyle w:val="36"/>
          <w:rFonts w:hAnsi="宋体"/>
          <w:b/>
          <w:color w:val="auto"/>
          <w:sz w:val="32"/>
          <w:szCs w:val="32"/>
        </w:rPr>
      </w:pPr>
    </w:p>
    <w:p w14:paraId="03975201">
      <w:pPr>
        <w:pStyle w:val="39"/>
        <w:ind w:firstLine="482" w:firstLineChars="200"/>
        <w:rPr>
          <w:rStyle w:val="36"/>
          <w:rFonts w:hAnsi="宋体"/>
          <w:b/>
          <w:color w:val="auto"/>
          <w:sz w:val="24"/>
          <w:szCs w:val="24"/>
        </w:rPr>
      </w:pPr>
    </w:p>
    <w:p w14:paraId="6D2C10AE">
      <w:pPr>
        <w:pStyle w:val="39"/>
        <w:jc w:val="center"/>
        <w:rPr>
          <w:rStyle w:val="36"/>
          <w:rFonts w:hAnsi="宋体"/>
          <w:b/>
          <w:color w:val="auto"/>
          <w:sz w:val="32"/>
        </w:rPr>
      </w:pPr>
      <w:r>
        <w:rPr>
          <w:rStyle w:val="36"/>
          <w:rFonts w:hAnsi="宋体"/>
          <w:b/>
          <w:color w:val="auto"/>
          <w:sz w:val="32"/>
        </w:rPr>
        <w:t>1.  授权委托书</w:t>
      </w:r>
    </w:p>
    <w:p w14:paraId="40BBBF5E">
      <w:pPr>
        <w:snapToGrid w:val="0"/>
        <w:spacing w:line="380" w:lineRule="exact"/>
        <w:rPr>
          <w:rStyle w:val="36"/>
          <w:rFonts w:ascii="宋体" w:hAnsi="宋体"/>
          <w:color w:val="auto"/>
          <w:szCs w:val="21"/>
          <w:u w:val="single"/>
        </w:rPr>
      </w:pPr>
      <w:r>
        <w:rPr>
          <w:rStyle w:val="36"/>
          <w:rFonts w:ascii="宋体" w:hAnsi="宋体"/>
          <w:b/>
          <w:color w:val="auto"/>
          <w:szCs w:val="21"/>
        </w:rPr>
        <w:t>致</w:t>
      </w:r>
      <w:r>
        <w:rPr>
          <w:rStyle w:val="36"/>
          <w:rFonts w:ascii="宋体" w:hAnsi="宋体"/>
          <w:color w:val="auto"/>
          <w:szCs w:val="21"/>
        </w:rPr>
        <w:t>：</w:t>
      </w:r>
      <w:r>
        <w:rPr>
          <w:rStyle w:val="36"/>
          <w:rFonts w:ascii="宋体" w:hAnsi="宋体"/>
          <w:color w:val="auto"/>
          <w:u w:val="single"/>
        </w:rPr>
        <w:t>桂林市中西医结合医院</w:t>
      </w:r>
    </w:p>
    <w:p w14:paraId="21B67359">
      <w:pPr>
        <w:pStyle w:val="39"/>
        <w:spacing w:line="380" w:lineRule="exact"/>
        <w:ind w:firstLine="525" w:firstLineChars="250"/>
        <w:rPr>
          <w:rStyle w:val="36"/>
          <w:rFonts w:hAnsi="宋体"/>
          <w:color w:val="auto"/>
        </w:rPr>
      </w:pPr>
      <w:r>
        <w:rPr>
          <w:rStyle w:val="36"/>
          <w:rFonts w:hAnsi="宋体"/>
          <w:color w:val="auto"/>
          <w:kern w:val="0"/>
        </w:rPr>
        <w:t>我</w:t>
      </w:r>
      <w:r>
        <w:rPr>
          <w:rStyle w:val="36"/>
          <w:rFonts w:hAnsi="宋体"/>
          <w:color w:val="auto"/>
          <w:kern w:val="0"/>
          <w:u w:val="single"/>
        </w:rPr>
        <w:t xml:space="preserve">              </w:t>
      </w:r>
      <w:r>
        <w:rPr>
          <w:rStyle w:val="36"/>
          <w:rFonts w:hAnsi="宋体"/>
          <w:color w:val="auto"/>
          <w:kern w:val="0"/>
        </w:rPr>
        <w:t>（姓名）系</w:t>
      </w:r>
      <w:r>
        <w:rPr>
          <w:rStyle w:val="36"/>
          <w:rFonts w:hAnsi="宋体"/>
          <w:color w:val="auto"/>
          <w:kern w:val="0"/>
          <w:u w:val="single"/>
        </w:rPr>
        <w:t xml:space="preserve">                              </w:t>
      </w:r>
      <w:r>
        <w:rPr>
          <w:rStyle w:val="36"/>
          <w:rFonts w:hAnsi="宋体"/>
          <w:color w:val="auto"/>
          <w:kern w:val="0"/>
        </w:rPr>
        <w:t>（</w:t>
      </w:r>
      <w:r>
        <w:rPr>
          <w:rStyle w:val="36"/>
          <w:rFonts w:hint="eastAsia" w:hAnsi="宋体"/>
          <w:color w:val="auto"/>
          <w:kern w:val="0"/>
        </w:rPr>
        <w:t>供应商</w:t>
      </w:r>
      <w:r>
        <w:rPr>
          <w:rStyle w:val="36"/>
          <w:rFonts w:hAnsi="宋体"/>
          <w:color w:val="auto"/>
          <w:kern w:val="0"/>
        </w:rPr>
        <w:t>名称）的法定代表人（负责人），现授权委托本单位在职职工</w:t>
      </w:r>
      <w:r>
        <w:rPr>
          <w:rStyle w:val="36"/>
          <w:rFonts w:hAnsi="宋体"/>
          <w:color w:val="auto"/>
          <w:kern w:val="0"/>
          <w:u w:val="single"/>
        </w:rPr>
        <w:t xml:space="preserve">            </w:t>
      </w:r>
      <w:r>
        <w:rPr>
          <w:rStyle w:val="36"/>
          <w:rFonts w:hAnsi="宋体"/>
          <w:color w:val="auto"/>
          <w:kern w:val="0"/>
        </w:rPr>
        <w:t>（姓名）以我公司名义参加</w:t>
      </w:r>
      <w:r>
        <w:rPr>
          <w:rStyle w:val="36"/>
          <w:rFonts w:hAnsi="宋体"/>
          <w:color w:val="auto"/>
          <w:kern w:val="0"/>
          <w:u w:val="single"/>
        </w:rPr>
        <w:t xml:space="preserve">      </w:t>
      </w:r>
      <w:r>
        <w:rPr>
          <w:rStyle w:val="36"/>
          <w:rFonts w:hAnsi="宋体"/>
          <w:color w:val="auto"/>
          <w:u w:val="single"/>
        </w:rPr>
        <w:t xml:space="preserve">（项目名称及项目编号）        </w:t>
      </w:r>
      <w:r>
        <w:rPr>
          <w:rStyle w:val="36"/>
          <w:rFonts w:hAnsi="宋体"/>
          <w:color w:val="auto"/>
        </w:rPr>
        <w:t>项目的</w:t>
      </w:r>
      <w:r>
        <w:rPr>
          <w:rStyle w:val="36"/>
          <w:rFonts w:hint="eastAsia" w:hAnsi="宋体"/>
          <w:color w:val="auto"/>
          <w:lang w:eastAsia="zh-CN"/>
        </w:rPr>
        <w:t>招标</w:t>
      </w:r>
      <w:r>
        <w:rPr>
          <w:rStyle w:val="36"/>
          <w:rFonts w:hAnsi="宋体"/>
          <w:color w:val="auto"/>
        </w:rPr>
        <w:t>活动，并代表我方全权办理针对上述项目的</w:t>
      </w:r>
      <w:r>
        <w:rPr>
          <w:rStyle w:val="36"/>
          <w:rFonts w:hint="eastAsia" w:hAnsi="宋体"/>
          <w:color w:val="auto"/>
          <w:lang w:eastAsia="zh-CN"/>
        </w:rPr>
        <w:t>招标</w:t>
      </w:r>
      <w:r>
        <w:rPr>
          <w:rStyle w:val="36"/>
          <w:rFonts w:hAnsi="宋体"/>
          <w:color w:val="auto"/>
        </w:rPr>
        <w:t>、</w:t>
      </w:r>
      <w:r>
        <w:rPr>
          <w:rStyle w:val="36"/>
          <w:rFonts w:hint="eastAsia" w:hAnsi="宋体"/>
          <w:color w:val="auto"/>
          <w:lang w:eastAsia="zh-CN"/>
        </w:rPr>
        <w:t>招标</w:t>
      </w:r>
      <w:r>
        <w:rPr>
          <w:rStyle w:val="36"/>
          <w:rFonts w:hAnsi="宋体"/>
          <w:color w:val="auto"/>
        </w:rPr>
        <w:t>、评审、签约等具体事务和签署相关文件。</w:t>
      </w:r>
    </w:p>
    <w:p w14:paraId="5254E808">
      <w:pPr>
        <w:pStyle w:val="39"/>
        <w:spacing w:line="380" w:lineRule="exact"/>
        <w:ind w:firstLine="420" w:firstLineChars="200"/>
        <w:rPr>
          <w:rStyle w:val="36"/>
          <w:rFonts w:hAnsi="宋体"/>
          <w:color w:val="auto"/>
        </w:rPr>
      </w:pPr>
      <w:r>
        <w:rPr>
          <w:rStyle w:val="36"/>
          <w:rFonts w:hAnsi="宋体"/>
          <w:color w:val="auto"/>
        </w:rPr>
        <w:t>我方对被授权人的签字事项负全部责任。</w:t>
      </w:r>
    </w:p>
    <w:p w14:paraId="2633F644">
      <w:pPr>
        <w:pStyle w:val="39"/>
        <w:spacing w:line="380" w:lineRule="exact"/>
        <w:ind w:firstLine="420" w:firstLineChars="200"/>
        <w:rPr>
          <w:rStyle w:val="36"/>
          <w:rFonts w:hAnsi="宋体"/>
          <w:color w:val="auto"/>
          <w:u w:val="single"/>
        </w:rPr>
      </w:pPr>
      <w:r>
        <w:rPr>
          <w:rStyle w:val="36"/>
          <w:rFonts w:hAnsi="宋体"/>
          <w:color w:val="auto"/>
        </w:rPr>
        <w:t>授权委托代理期限：从</w:t>
      </w:r>
      <w:r>
        <w:rPr>
          <w:rStyle w:val="36"/>
          <w:rFonts w:hAnsi="宋体"/>
          <w:color w:val="auto"/>
          <w:u w:val="single"/>
        </w:rPr>
        <w:t xml:space="preserve">       </w:t>
      </w:r>
      <w:r>
        <w:rPr>
          <w:rStyle w:val="36"/>
          <w:rFonts w:hAnsi="宋体"/>
          <w:color w:val="auto"/>
        </w:rPr>
        <w:t>年</w:t>
      </w:r>
      <w:r>
        <w:rPr>
          <w:rStyle w:val="36"/>
          <w:rFonts w:hAnsi="宋体"/>
          <w:color w:val="auto"/>
          <w:u w:val="single"/>
        </w:rPr>
        <w:t xml:space="preserve">     </w:t>
      </w:r>
      <w:r>
        <w:rPr>
          <w:rStyle w:val="36"/>
          <w:rFonts w:hAnsi="宋体"/>
          <w:color w:val="auto"/>
        </w:rPr>
        <w:t xml:space="preserve">月 </w:t>
      </w:r>
      <w:r>
        <w:rPr>
          <w:rStyle w:val="36"/>
          <w:rFonts w:hAnsi="宋体"/>
          <w:color w:val="auto"/>
          <w:u w:val="single"/>
        </w:rPr>
        <w:t xml:space="preserve">    </w:t>
      </w:r>
      <w:r>
        <w:rPr>
          <w:rStyle w:val="36"/>
          <w:rFonts w:hAnsi="宋体"/>
          <w:color w:val="auto"/>
        </w:rPr>
        <w:t xml:space="preserve"> 日起至</w:t>
      </w:r>
      <w:r>
        <w:rPr>
          <w:rStyle w:val="36"/>
          <w:rFonts w:hAnsi="宋体"/>
          <w:color w:val="auto"/>
          <w:u w:val="single"/>
        </w:rPr>
        <w:t xml:space="preserve">         </w:t>
      </w:r>
      <w:r>
        <w:rPr>
          <w:rStyle w:val="36"/>
          <w:rFonts w:hAnsi="宋体"/>
          <w:color w:val="auto"/>
        </w:rPr>
        <w:t>年</w:t>
      </w:r>
      <w:r>
        <w:rPr>
          <w:rStyle w:val="36"/>
          <w:rFonts w:hAnsi="宋体"/>
          <w:color w:val="auto"/>
          <w:u w:val="single"/>
        </w:rPr>
        <w:t xml:space="preserve">     </w:t>
      </w:r>
      <w:r>
        <w:rPr>
          <w:rStyle w:val="36"/>
          <w:rFonts w:hAnsi="宋体"/>
          <w:color w:val="auto"/>
        </w:rPr>
        <w:t xml:space="preserve">月 </w:t>
      </w:r>
      <w:r>
        <w:rPr>
          <w:rStyle w:val="36"/>
          <w:rFonts w:hAnsi="宋体"/>
          <w:color w:val="auto"/>
          <w:u w:val="single"/>
        </w:rPr>
        <w:t xml:space="preserve">     </w:t>
      </w:r>
      <w:r>
        <w:rPr>
          <w:rStyle w:val="36"/>
          <w:rFonts w:hAnsi="宋体"/>
          <w:color w:val="auto"/>
        </w:rPr>
        <w:t>日止。</w:t>
      </w:r>
    </w:p>
    <w:p w14:paraId="0D3E8363">
      <w:pPr>
        <w:pStyle w:val="39"/>
        <w:spacing w:line="400" w:lineRule="exact"/>
        <w:rPr>
          <w:rStyle w:val="36"/>
          <w:rFonts w:hAnsi="宋体"/>
          <w:color w:val="auto"/>
          <w:u w:val="single"/>
        </w:rPr>
      </w:pPr>
      <w:r>
        <w:rPr>
          <w:rStyle w:val="36"/>
          <w:rFonts w:hAnsi="宋体"/>
          <w:color w:val="auto"/>
        </w:rPr>
        <w:t xml:space="preserve">                                                                                             </w:t>
      </w:r>
    </w:p>
    <w:p w14:paraId="1CA2CE49">
      <w:pPr>
        <w:spacing w:line="400" w:lineRule="exact"/>
        <w:ind w:firstLine="420" w:firstLineChars="200"/>
        <w:rPr>
          <w:rStyle w:val="36"/>
          <w:rFonts w:ascii="宋体" w:hAnsi="宋体"/>
          <w:color w:val="auto"/>
          <w:kern w:val="0"/>
        </w:rPr>
      </w:pPr>
      <w:r>
        <w:rPr>
          <w:rStyle w:val="36"/>
          <w:rFonts w:ascii="宋体" w:hAnsi="宋体"/>
          <w:color w:val="auto"/>
          <w:kern w:val="0"/>
        </w:rPr>
        <w:t xml:space="preserve">代理人无转委托权,特此委托。 </w:t>
      </w:r>
    </w:p>
    <w:p w14:paraId="561CE044">
      <w:pPr>
        <w:snapToGrid w:val="0"/>
        <w:spacing w:line="400" w:lineRule="exact"/>
        <w:ind w:firstLine="525"/>
        <w:rPr>
          <w:rStyle w:val="36"/>
          <w:rFonts w:ascii="宋体" w:hAnsi="宋体"/>
          <w:color w:val="auto"/>
          <w:szCs w:val="21"/>
        </w:rPr>
      </w:pPr>
    </w:p>
    <w:p w14:paraId="45B4DA0F">
      <w:pPr>
        <w:snapToGrid w:val="0"/>
        <w:spacing w:line="400" w:lineRule="exact"/>
        <w:ind w:firstLine="420"/>
        <w:rPr>
          <w:rStyle w:val="36"/>
          <w:rFonts w:ascii="宋体" w:hAnsi="宋体"/>
          <w:color w:val="auto"/>
          <w:szCs w:val="21"/>
        </w:rPr>
      </w:pPr>
      <w:r>
        <w:rPr>
          <w:rStyle w:val="36"/>
          <w:rFonts w:ascii="宋体" w:hAnsi="宋体"/>
          <w:color w:val="auto"/>
          <w:szCs w:val="21"/>
        </w:rPr>
        <w:t>我已在下面签字，以资证明。</w:t>
      </w:r>
    </w:p>
    <w:p w14:paraId="435D3ADE">
      <w:pPr>
        <w:snapToGrid w:val="0"/>
        <w:spacing w:line="400" w:lineRule="exact"/>
        <w:ind w:firstLine="420"/>
        <w:rPr>
          <w:rStyle w:val="36"/>
          <w:rFonts w:ascii="宋体" w:hAnsi="宋体"/>
          <w:color w:val="auto"/>
          <w:szCs w:val="21"/>
        </w:rPr>
      </w:pPr>
    </w:p>
    <w:p w14:paraId="368C8A8A">
      <w:pPr>
        <w:snapToGrid w:val="0"/>
        <w:spacing w:line="400" w:lineRule="exact"/>
        <w:ind w:firstLine="420"/>
        <w:rPr>
          <w:rStyle w:val="36"/>
          <w:rFonts w:ascii="宋体" w:hAnsi="宋体"/>
          <w:color w:val="auto"/>
          <w:szCs w:val="21"/>
          <w:u w:val="single"/>
        </w:rPr>
      </w:pPr>
      <w:r>
        <w:rPr>
          <w:rStyle w:val="36"/>
          <w:rFonts w:hint="eastAsia" w:ascii="宋体" w:hAnsi="宋体"/>
          <w:color w:val="auto"/>
          <w:szCs w:val="21"/>
        </w:rPr>
        <w:t>供应商</w:t>
      </w:r>
      <w:r>
        <w:rPr>
          <w:rStyle w:val="36"/>
          <w:rFonts w:ascii="宋体" w:hAnsi="宋体"/>
          <w:color w:val="auto"/>
          <w:szCs w:val="21"/>
        </w:rPr>
        <w:t>（公章）：</w:t>
      </w:r>
      <w:r>
        <w:rPr>
          <w:rStyle w:val="36"/>
          <w:rFonts w:ascii="宋体" w:hAnsi="宋体"/>
          <w:color w:val="auto"/>
          <w:szCs w:val="21"/>
          <w:u w:val="single"/>
        </w:rPr>
        <w:t xml:space="preserve">                                   </w:t>
      </w:r>
    </w:p>
    <w:p w14:paraId="675B8058">
      <w:pPr>
        <w:snapToGrid w:val="0"/>
        <w:spacing w:line="400" w:lineRule="exact"/>
        <w:ind w:firstLine="420"/>
        <w:rPr>
          <w:rStyle w:val="36"/>
          <w:rFonts w:ascii="宋体" w:hAnsi="宋体"/>
          <w:color w:val="auto"/>
          <w:szCs w:val="21"/>
        </w:rPr>
      </w:pPr>
    </w:p>
    <w:p w14:paraId="3D241C3C">
      <w:pPr>
        <w:snapToGrid w:val="0"/>
        <w:spacing w:line="400" w:lineRule="exact"/>
        <w:ind w:firstLine="420"/>
        <w:rPr>
          <w:rStyle w:val="36"/>
          <w:rFonts w:ascii="宋体" w:hAnsi="宋体"/>
          <w:color w:val="auto"/>
          <w:szCs w:val="21"/>
        </w:rPr>
      </w:pPr>
      <w:r>
        <w:rPr>
          <w:rStyle w:val="36"/>
          <w:rFonts w:ascii="宋体" w:hAnsi="宋体"/>
          <w:color w:val="auto"/>
          <w:szCs w:val="21"/>
        </w:rPr>
        <w:t>法定代表人（负责人）签字（或盖章）：</w:t>
      </w:r>
      <w:r>
        <w:rPr>
          <w:rStyle w:val="36"/>
          <w:rFonts w:ascii="宋体" w:hAnsi="宋体"/>
          <w:color w:val="auto"/>
          <w:szCs w:val="21"/>
          <w:u w:val="single"/>
        </w:rPr>
        <w:t xml:space="preserve">                  </w:t>
      </w:r>
      <w:r>
        <w:rPr>
          <w:rStyle w:val="36"/>
          <w:rFonts w:ascii="宋体" w:hAnsi="宋体"/>
          <w:color w:val="auto"/>
          <w:szCs w:val="21"/>
        </w:rPr>
        <w:t xml:space="preserve">     　</w:t>
      </w:r>
      <w:r>
        <w:rPr>
          <w:rStyle w:val="36"/>
          <w:rFonts w:ascii="宋体" w:hAnsi="宋体"/>
          <w:color w:val="auto"/>
          <w:szCs w:val="21"/>
          <w:u w:val="single"/>
        </w:rPr>
        <w:t xml:space="preserve">       </w:t>
      </w:r>
      <w:r>
        <w:rPr>
          <w:rStyle w:val="36"/>
          <w:rFonts w:ascii="宋体" w:hAnsi="宋体"/>
          <w:color w:val="auto"/>
          <w:szCs w:val="21"/>
        </w:rPr>
        <w:t>年</w:t>
      </w:r>
      <w:r>
        <w:rPr>
          <w:rStyle w:val="36"/>
          <w:rFonts w:ascii="宋体" w:hAnsi="宋体"/>
          <w:color w:val="auto"/>
          <w:szCs w:val="21"/>
          <w:u w:val="single"/>
        </w:rPr>
        <w:t xml:space="preserve">      </w:t>
      </w:r>
      <w:r>
        <w:rPr>
          <w:rStyle w:val="36"/>
          <w:rFonts w:ascii="宋体" w:hAnsi="宋体"/>
          <w:color w:val="auto"/>
          <w:szCs w:val="21"/>
        </w:rPr>
        <w:t>月</w:t>
      </w:r>
      <w:r>
        <w:rPr>
          <w:rStyle w:val="36"/>
          <w:rFonts w:ascii="宋体" w:hAnsi="宋体"/>
          <w:color w:val="auto"/>
          <w:szCs w:val="21"/>
          <w:u w:val="single"/>
        </w:rPr>
        <w:t xml:space="preserve">     </w:t>
      </w:r>
      <w:r>
        <w:rPr>
          <w:rStyle w:val="36"/>
          <w:rFonts w:ascii="宋体" w:hAnsi="宋体"/>
          <w:color w:val="auto"/>
          <w:szCs w:val="21"/>
        </w:rPr>
        <w:t>日</w:t>
      </w:r>
    </w:p>
    <w:p w14:paraId="3D945E66">
      <w:pPr>
        <w:snapToGrid w:val="0"/>
        <w:spacing w:line="400" w:lineRule="exact"/>
        <w:ind w:firstLine="420"/>
        <w:rPr>
          <w:rStyle w:val="36"/>
          <w:rFonts w:ascii="宋体" w:hAnsi="宋体"/>
          <w:color w:val="auto"/>
          <w:szCs w:val="21"/>
        </w:rPr>
      </w:pPr>
    </w:p>
    <w:p w14:paraId="30AADAF8">
      <w:pPr>
        <w:pStyle w:val="39"/>
        <w:spacing w:line="400" w:lineRule="exact"/>
        <w:rPr>
          <w:rStyle w:val="36"/>
          <w:rFonts w:hAnsi="宋体"/>
          <w:color w:val="auto"/>
        </w:rPr>
      </w:pPr>
    </w:p>
    <w:p w14:paraId="4081F57C">
      <w:pPr>
        <w:pStyle w:val="39"/>
        <w:spacing w:line="400" w:lineRule="exact"/>
        <w:rPr>
          <w:rStyle w:val="36"/>
          <w:rFonts w:hAnsi="宋体"/>
          <w:color w:val="auto"/>
        </w:rPr>
      </w:pPr>
    </w:p>
    <w:p w14:paraId="61C89093">
      <w:pPr>
        <w:pStyle w:val="39"/>
        <w:spacing w:line="400" w:lineRule="exact"/>
        <w:rPr>
          <w:rStyle w:val="36"/>
          <w:rFonts w:hAnsi="宋体"/>
          <w:color w:val="auto"/>
        </w:rPr>
      </w:pPr>
    </w:p>
    <w:p w14:paraId="50AC0C2D">
      <w:pPr>
        <w:pStyle w:val="39"/>
        <w:spacing w:line="400" w:lineRule="exact"/>
        <w:rPr>
          <w:rStyle w:val="36"/>
          <w:rFonts w:hAnsi="宋体"/>
          <w:color w:val="auto"/>
        </w:rPr>
      </w:pPr>
    </w:p>
    <w:p w14:paraId="732AF6E5">
      <w:pPr>
        <w:pStyle w:val="39"/>
        <w:spacing w:line="400" w:lineRule="exact"/>
        <w:rPr>
          <w:rStyle w:val="36"/>
          <w:rFonts w:hAnsi="宋体"/>
          <w:color w:val="auto"/>
        </w:rPr>
      </w:pPr>
    </w:p>
    <w:p w14:paraId="32599F72">
      <w:pPr>
        <w:pStyle w:val="39"/>
        <w:spacing w:line="400" w:lineRule="exact"/>
        <w:rPr>
          <w:rStyle w:val="36"/>
          <w:rFonts w:hAnsi="宋体"/>
          <w:color w:val="auto"/>
        </w:rPr>
      </w:pPr>
    </w:p>
    <w:p w14:paraId="546B64DA">
      <w:pPr>
        <w:pStyle w:val="39"/>
        <w:spacing w:line="400" w:lineRule="exact"/>
        <w:rPr>
          <w:rStyle w:val="36"/>
          <w:rFonts w:hAnsi="宋体"/>
          <w:color w:val="auto"/>
        </w:rPr>
      </w:pPr>
    </w:p>
    <w:p w14:paraId="5A6DE46C">
      <w:pPr>
        <w:pStyle w:val="39"/>
        <w:spacing w:line="400" w:lineRule="exact"/>
        <w:ind w:left="420" w:leftChars="200" w:firstLine="157" w:firstLineChars="49"/>
        <w:rPr>
          <w:rStyle w:val="36"/>
          <w:rFonts w:hAnsi="宋体"/>
          <w:b/>
          <w:color w:val="auto"/>
          <w:sz w:val="32"/>
          <w:szCs w:val="32"/>
        </w:rPr>
      </w:pPr>
    </w:p>
    <w:p w14:paraId="5AE095A2">
      <w:pPr>
        <w:pStyle w:val="39"/>
        <w:spacing w:line="400" w:lineRule="exact"/>
        <w:ind w:left="13" w:leftChars="6" w:firstLine="562" w:firstLineChars="175"/>
        <w:rPr>
          <w:rStyle w:val="36"/>
          <w:rFonts w:hAnsi="宋体"/>
          <w:b/>
          <w:color w:val="auto"/>
          <w:sz w:val="32"/>
          <w:szCs w:val="32"/>
        </w:rPr>
      </w:pPr>
      <w:r>
        <w:rPr>
          <w:rStyle w:val="36"/>
          <w:rFonts w:hAnsi="宋体"/>
          <w:b/>
          <w:color w:val="auto"/>
          <w:sz w:val="32"/>
          <w:szCs w:val="32"/>
        </w:rPr>
        <w:t xml:space="preserve">2. </w:t>
      </w:r>
      <w:r>
        <w:rPr>
          <w:rStyle w:val="36"/>
          <w:rFonts w:hint="eastAsia" w:hAnsi="宋体"/>
          <w:b/>
          <w:color w:val="auto"/>
          <w:sz w:val="32"/>
          <w:szCs w:val="32"/>
        </w:rPr>
        <w:t>供应商</w:t>
      </w:r>
      <w:r>
        <w:rPr>
          <w:rStyle w:val="36"/>
          <w:rFonts w:hAnsi="宋体"/>
          <w:b/>
          <w:color w:val="auto"/>
          <w:sz w:val="32"/>
          <w:szCs w:val="32"/>
        </w:rPr>
        <w:t>参加政府采购活动前3年内在经营活动中没有重大违法记录的书面声明（必须提供）</w:t>
      </w:r>
    </w:p>
    <w:p w14:paraId="7D9E7CBD">
      <w:pPr>
        <w:pStyle w:val="39"/>
        <w:spacing w:line="400" w:lineRule="exact"/>
        <w:ind w:left="420" w:leftChars="200" w:firstLine="157" w:firstLineChars="49"/>
        <w:rPr>
          <w:rStyle w:val="36"/>
          <w:rFonts w:hAnsi="宋体"/>
          <w:b/>
          <w:color w:val="auto"/>
          <w:sz w:val="32"/>
          <w:szCs w:val="32"/>
        </w:rPr>
      </w:pPr>
    </w:p>
    <w:p w14:paraId="3BD278CC">
      <w:pPr>
        <w:pStyle w:val="39"/>
        <w:spacing w:line="400" w:lineRule="exact"/>
        <w:ind w:left="420" w:leftChars="200" w:firstLine="157" w:firstLineChars="49"/>
        <w:rPr>
          <w:rStyle w:val="36"/>
          <w:rFonts w:hAnsi="宋体"/>
          <w:b/>
          <w:color w:val="auto"/>
          <w:sz w:val="32"/>
          <w:szCs w:val="32"/>
        </w:rPr>
      </w:pPr>
      <w:r>
        <w:rPr>
          <w:rStyle w:val="36"/>
          <w:rFonts w:hAnsi="宋体"/>
          <w:b/>
          <w:color w:val="auto"/>
          <w:sz w:val="32"/>
          <w:szCs w:val="32"/>
        </w:rPr>
        <w:t xml:space="preserve"> </w:t>
      </w:r>
    </w:p>
    <w:p w14:paraId="2EA305BC">
      <w:pPr>
        <w:pStyle w:val="39"/>
        <w:spacing w:line="400" w:lineRule="exact"/>
        <w:ind w:left="420" w:leftChars="200" w:firstLine="157" w:firstLineChars="49"/>
        <w:rPr>
          <w:rStyle w:val="36"/>
          <w:rFonts w:hAnsi="宋体"/>
          <w:b/>
          <w:color w:val="auto"/>
          <w:sz w:val="32"/>
          <w:szCs w:val="32"/>
        </w:rPr>
      </w:pPr>
    </w:p>
    <w:p w14:paraId="25D87197">
      <w:pPr>
        <w:pStyle w:val="39"/>
        <w:spacing w:line="400" w:lineRule="exact"/>
        <w:ind w:left="420" w:leftChars="200" w:firstLine="157" w:firstLineChars="49"/>
        <w:rPr>
          <w:rStyle w:val="36"/>
          <w:rFonts w:hAnsi="宋体"/>
          <w:b/>
          <w:color w:val="auto"/>
          <w:sz w:val="32"/>
          <w:szCs w:val="32"/>
        </w:rPr>
      </w:pPr>
    </w:p>
    <w:p w14:paraId="56437FFD">
      <w:pPr>
        <w:pStyle w:val="39"/>
        <w:spacing w:line="400" w:lineRule="exact"/>
        <w:jc w:val="center"/>
        <w:rPr>
          <w:rStyle w:val="36"/>
          <w:rFonts w:hAnsi="宋体"/>
          <w:b/>
          <w:color w:val="auto"/>
          <w:sz w:val="32"/>
          <w:szCs w:val="32"/>
        </w:rPr>
      </w:pPr>
      <w:r>
        <w:rPr>
          <w:rStyle w:val="36"/>
          <w:rFonts w:hAnsi="宋体"/>
          <w:b/>
          <w:color w:val="auto"/>
          <w:sz w:val="32"/>
          <w:szCs w:val="32"/>
        </w:rPr>
        <w:t>声   明</w:t>
      </w:r>
    </w:p>
    <w:p w14:paraId="1B0DDEF3">
      <w:pPr>
        <w:snapToGrid w:val="0"/>
        <w:spacing w:line="400" w:lineRule="exact"/>
        <w:rPr>
          <w:rStyle w:val="36"/>
          <w:rFonts w:ascii="宋体" w:hAnsi="宋体"/>
          <w:color w:val="auto"/>
          <w:szCs w:val="21"/>
          <w:u w:val="single"/>
        </w:rPr>
      </w:pPr>
      <w:r>
        <w:rPr>
          <w:rStyle w:val="36"/>
          <w:rFonts w:ascii="宋体" w:hAnsi="宋体"/>
          <w:b/>
          <w:color w:val="auto"/>
          <w:szCs w:val="21"/>
        </w:rPr>
        <w:t>致</w:t>
      </w:r>
      <w:r>
        <w:rPr>
          <w:rStyle w:val="36"/>
          <w:rFonts w:ascii="宋体" w:hAnsi="宋体"/>
          <w:color w:val="auto"/>
          <w:szCs w:val="21"/>
        </w:rPr>
        <w:t>：</w:t>
      </w:r>
      <w:r>
        <w:rPr>
          <w:rStyle w:val="36"/>
          <w:rFonts w:ascii="宋体" w:hAnsi="宋体"/>
          <w:color w:val="auto"/>
          <w:u w:val="single"/>
        </w:rPr>
        <w:t>桂林市中西医结合医院</w:t>
      </w:r>
    </w:p>
    <w:p w14:paraId="0AEC7757">
      <w:pPr>
        <w:snapToGrid w:val="0"/>
        <w:spacing w:line="400" w:lineRule="exact"/>
        <w:ind w:firstLine="420"/>
        <w:rPr>
          <w:rStyle w:val="36"/>
          <w:rFonts w:hAnsi="宋体"/>
          <w:color w:val="auto"/>
        </w:rPr>
      </w:pPr>
    </w:p>
    <w:p w14:paraId="18E80BCF">
      <w:pPr>
        <w:snapToGrid w:val="0"/>
        <w:spacing w:line="400" w:lineRule="exact"/>
        <w:ind w:firstLine="420"/>
        <w:rPr>
          <w:rStyle w:val="36"/>
          <w:rFonts w:ascii="宋体" w:hAnsi="宋体"/>
          <w:color w:val="auto"/>
          <w:szCs w:val="21"/>
        </w:rPr>
      </w:pPr>
      <w:r>
        <w:rPr>
          <w:rStyle w:val="36"/>
          <w:rFonts w:ascii="宋体" w:hAnsi="宋体"/>
          <w:color w:val="auto"/>
        </w:rPr>
        <w:t>我（公司）郑重声明，在参加本项目</w:t>
      </w:r>
      <w:r>
        <w:rPr>
          <w:rStyle w:val="36"/>
          <w:rFonts w:hint="eastAsia" w:ascii="宋体" w:hAnsi="宋体"/>
          <w:color w:val="auto"/>
          <w:lang w:eastAsia="zh-CN"/>
        </w:rPr>
        <w:t>招标</w:t>
      </w:r>
      <w:r>
        <w:rPr>
          <w:rStyle w:val="36"/>
          <w:rFonts w:ascii="宋体" w:hAnsi="宋体"/>
          <w:color w:val="auto"/>
        </w:rPr>
        <w:t>采购活动前3年内在经营活动中没有重大违法记录（重大违法记录是指</w:t>
      </w:r>
      <w:r>
        <w:rPr>
          <w:rStyle w:val="36"/>
          <w:rFonts w:hint="eastAsia" w:ascii="宋体" w:hAnsi="宋体"/>
          <w:color w:val="auto"/>
        </w:rPr>
        <w:t>供应商</w:t>
      </w:r>
      <w:r>
        <w:rPr>
          <w:rStyle w:val="36"/>
          <w:rFonts w:ascii="宋体" w:hAnsi="宋体"/>
          <w:color w:val="auto"/>
        </w:rPr>
        <w:t>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w:t>
      </w:r>
      <w:r>
        <w:rPr>
          <w:rStyle w:val="36"/>
          <w:rFonts w:hint="eastAsia" w:ascii="宋体" w:hAnsi="宋体"/>
          <w:color w:val="auto"/>
        </w:rPr>
        <w:t>供应商</w:t>
      </w:r>
      <w:r>
        <w:rPr>
          <w:rStyle w:val="36"/>
          <w:rFonts w:ascii="宋体" w:hAnsi="宋体"/>
          <w:color w:val="auto"/>
        </w:rPr>
        <w:t>资格条件，我方对此声明负全部法律责任。</w:t>
      </w:r>
    </w:p>
    <w:p w14:paraId="0075891B">
      <w:pPr>
        <w:snapToGrid w:val="0"/>
        <w:spacing w:line="400" w:lineRule="exact"/>
        <w:ind w:firstLine="3255" w:firstLineChars="1550"/>
        <w:rPr>
          <w:rStyle w:val="36"/>
          <w:rFonts w:ascii="宋体" w:hAnsi="宋体"/>
          <w:color w:val="auto"/>
          <w:szCs w:val="21"/>
          <w:u w:val="single"/>
        </w:rPr>
      </w:pPr>
      <w:r>
        <w:rPr>
          <w:rStyle w:val="36"/>
          <w:rFonts w:hint="eastAsia" w:ascii="宋体" w:hAnsi="宋体"/>
          <w:color w:val="auto"/>
          <w:szCs w:val="21"/>
        </w:rPr>
        <w:t>供应商</w:t>
      </w:r>
      <w:r>
        <w:rPr>
          <w:rStyle w:val="36"/>
          <w:rFonts w:ascii="宋体" w:hAnsi="宋体"/>
          <w:color w:val="auto"/>
          <w:szCs w:val="21"/>
        </w:rPr>
        <w:t>（公章）：</w:t>
      </w:r>
      <w:r>
        <w:rPr>
          <w:rStyle w:val="36"/>
          <w:rFonts w:ascii="宋体" w:hAnsi="宋体"/>
          <w:color w:val="auto"/>
          <w:szCs w:val="21"/>
          <w:u w:val="single"/>
        </w:rPr>
        <w:t xml:space="preserve">                                         </w:t>
      </w:r>
    </w:p>
    <w:p w14:paraId="7B02654A">
      <w:pPr>
        <w:snapToGrid w:val="0"/>
        <w:spacing w:line="400" w:lineRule="exact"/>
        <w:ind w:firstLine="420"/>
        <w:rPr>
          <w:rStyle w:val="36"/>
          <w:rFonts w:ascii="宋体" w:hAnsi="宋体"/>
          <w:color w:val="auto"/>
          <w:szCs w:val="21"/>
        </w:rPr>
      </w:pPr>
    </w:p>
    <w:p w14:paraId="4A43444A">
      <w:pPr>
        <w:spacing w:line="340" w:lineRule="exact"/>
        <w:ind w:left="3360" w:leftChars="1600"/>
        <w:rPr>
          <w:rStyle w:val="36"/>
          <w:rFonts w:ascii="宋体" w:hAnsi="宋体"/>
          <w:color w:val="auto"/>
          <w:szCs w:val="21"/>
          <w:u w:val="single"/>
        </w:rPr>
      </w:pPr>
      <w:r>
        <w:rPr>
          <w:rStyle w:val="36"/>
          <w:rFonts w:hAnsi="宋体"/>
          <w:color w:val="auto"/>
        </w:rPr>
        <w:t>法定代表人或委托代理人签字（或盖章）：</w:t>
      </w:r>
      <w:r>
        <w:rPr>
          <w:rStyle w:val="36"/>
          <w:rFonts w:ascii="宋体" w:hAnsi="宋体"/>
          <w:color w:val="auto"/>
          <w:szCs w:val="21"/>
          <w:u w:val="single"/>
        </w:rPr>
        <w:t xml:space="preserve">                        </w:t>
      </w:r>
    </w:p>
    <w:p w14:paraId="00267DB9">
      <w:pPr>
        <w:spacing w:line="340" w:lineRule="exact"/>
        <w:ind w:firstLine="105" w:firstLineChars="50"/>
        <w:rPr>
          <w:rStyle w:val="36"/>
          <w:rFonts w:ascii="宋体" w:hAnsi="宋体"/>
          <w:color w:val="auto"/>
        </w:rPr>
      </w:pPr>
    </w:p>
    <w:p w14:paraId="3C9AA1C2">
      <w:pPr>
        <w:spacing w:line="340" w:lineRule="exact"/>
        <w:ind w:firstLine="3360" w:firstLineChars="1600"/>
        <w:rPr>
          <w:rStyle w:val="36"/>
          <w:rFonts w:ascii="宋体" w:hAnsi="宋体"/>
          <w:color w:val="auto"/>
        </w:rPr>
      </w:pPr>
      <w:r>
        <w:rPr>
          <w:rStyle w:val="36"/>
          <w:rFonts w:ascii="宋体" w:hAnsi="宋体"/>
          <w:color w:val="auto"/>
        </w:rPr>
        <w:t>日          期：</w:t>
      </w:r>
      <w:r>
        <w:rPr>
          <w:rStyle w:val="36"/>
          <w:rFonts w:ascii="宋体" w:hAnsi="宋体"/>
          <w:color w:val="auto"/>
          <w:u w:val="single"/>
        </w:rPr>
        <w:t xml:space="preserve">                                           </w:t>
      </w:r>
      <w:r>
        <w:rPr>
          <w:rStyle w:val="36"/>
          <w:rFonts w:ascii="宋体" w:hAnsi="宋体"/>
          <w:color w:val="auto"/>
        </w:rPr>
        <w:t xml:space="preserve">   </w:t>
      </w:r>
    </w:p>
    <w:p w14:paraId="1F38AC00">
      <w:pPr>
        <w:pStyle w:val="39"/>
        <w:spacing w:line="500" w:lineRule="exact"/>
        <w:ind w:firstLine="525" w:firstLineChars="250"/>
        <w:rPr>
          <w:rStyle w:val="36"/>
          <w:rFonts w:hAnsi="宋体"/>
          <w:color w:val="auto"/>
        </w:rPr>
      </w:pPr>
    </w:p>
    <w:p w14:paraId="540FBA14">
      <w:pPr>
        <w:spacing w:line="400" w:lineRule="exact"/>
        <w:rPr>
          <w:rFonts w:hint="eastAsia" w:hAnsi="宋体"/>
          <w:b/>
          <w:bCs/>
          <w:color w:val="auto"/>
          <w:sz w:val="32"/>
          <w:szCs w:val="32"/>
        </w:rPr>
      </w:pPr>
    </w:p>
    <w:p w14:paraId="2241230E">
      <w:pPr>
        <w:keepNext w:val="0"/>
        <w:keepLines w:val="0"/>
        <w:pageBreakBefore w:val="0"/>
        <w:widowControl w:val="0"/>
        <w:kinsoku/>
        <w:wordWrap/>
        <w:overflowPunct/>
        <w:topLinePunct w:val="0"/>
        <w:autoSpaceDN/>
        <w:bidi w:val="0"/>
        <w:adjustRightInd w:val="0"/>
        <w:snapToGrid w:val="0"/>
        <w:spacing w:line="520" w:lineRule="exact"/>
        <w:textAlignment w:val="auto"/>
        <w:rPr>
          <w:rFonts w:hint="eastAsia" w:ascii="仿宋" w:hAnsi="仿宋" w:eastAsia="仿宋" w:cs="仿宋"/>
          <w:b/>
          <w:bCs/>
          <w:spacing w:val="1"/>
          <w:kern w:val="0"/>
          <w:sz w:val="30"/>
          <w:szCs w:val="30"/>
          <w:lang w:val="en-US" w:eastAsia="zh-CN"/>
        </w:rPr>
      </w:pPr>
    </w:p>
    <w:sectPr>
      <w:headerReference r:id="rId4" w:type="first"/>
      <w:footerReference r:id="rId7" w:type="first"/>
      <w:headerReference r:id="rId3" w:type="default"/>
      <w:footerReference r:id="rId5" w:type="default"/>
      <w:footerReference r:id="rId6" w:type="even"/>
      <w:pgSz w:w="11906" w:h="16838"/>
      <w:pgMar w:top="720" w:right="720" w:bottom="720" w:left="72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等线">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Arial Black">
    <w:panose1 w:val="020B0A04020102020204"/>
    <w:charset w:val="00"/>
    <w:family w:val="swiss"/>
    <w:pitch w:val="default"/>
    <w:sig w:usb0="A00002AF" w:usb1="400078FB" w:usb2="00000000" w:usb3="00000000" w:csb0="6000009F" w:csb1="DFD70000"/>
  </w:font>
  <w:font w:name="Tahoma">
    <w:panose1 w:val="020B0604030504040204"/>
    <w:charset w:val="00"/>
    <w:family w:val="swiss"/>
    <w:pitch w:val="default"/>
    <w:sig w:usb0="E1002EFF" w:usb1="C000605B" w:usb2="00000029" w:usb3="00000000" w:csb0="200101FF" w:csb1="20280000"/>
  </w:font>
  <w:font w:name="Fawanh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141A3">
    <w:pPr>
      <w:pStyle w:val="14"/>
      <w:jc w:val="center"/>
      <w:rPr>
        <w:rStyle w:val="36"/>
      </w:rPr>
    </w:pPr>
  </w:p>
  <w:p w14:paraId="077EA188">
    <w:pPr>
      <w:pStyle w:val="14"/>
      <w:ind w:right="360"/>
      <w:rPr>
        <w:rStyle w:val="3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AF762">
    <w:pPr>
      <w:pStyle w:val="14"/>
      <w:framePr w:wrap="around" w:vAnchor="margin" w:hAnchor="text" w:xAlign="center" w:y="1"/>
      <w:rPr>
        <w:rStyle w:val="49"/>
      </w:rPr>
    </w:pPr>
  </w:p>
  <w:p w14:paraId="33E6FB54">
    <w:pPr>
      <w:pStyle w:val="14"/>
      <w:ind w:right="360"/>
      <w:rPr>
        <w:rStyle w:val="3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4D2BF">
    <w:pPr>
      <w:pStyle w:val="14"/>
      <w:jc w:val="center"/>
      <w:rPr>
        <w:rStyle w:val="36"/>
        <w:color w:val="FFFFFF"/>
      </w:rPr>
    </w:pPr>
  </w:p>
  <w:p w14:paraId="55C43509">
    <w:pPr>
      <w:pStyle w:val="14"/>
      <w:rPr>
        <w:rStyle w:val="36"/>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FB8CA">
    <w:pPr>
      <w:pStyle w:val="15"/>
      <w:pBdr>
        <w:bottom w:val="none" w:color="auto" w:sz="0" w:space="0"/>
      </w:pBdr>
      <w:rPr>
        <w:rStyle w:val="3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D2F91">
    <w:pPr>
      <w:pStyle w:val="15"/>
      <w:pBdr>
        <w:bottom w:val="none" w:color="000000" w:sz="0" w:space="1"/>
      </w:pBdr>
      <w:rPr>
        <w:rStyle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0B4105"/>
    <w:multiLevelType w:val="singleLevel"/>
    <w:tmpl w:val="D10B4105"/>
    <w:lvl w:ilvl="0" w:tentative="0">
      <w:start w:val="5"/>
      <w:numFmt w:val="decimal"/>
      <w:suff w:val="nothing"/>
      <w:lvlText w:val="（%1）"/>
      <w:lvlJc w:val="left"/>
    </w:lvl>
  </w:abstractNum>
  <w:abstractNum w:abstractNumId="1">
    <w:nsid w:val="1263036E"/>
    <w:multiLevelType w:val="multilevel"/>
    <w:tmpl w:val="1263036E"/>
    <w:lvl w:ilvl="0" w:tentative="0">
      <w:start w:val="1"/>
      <w:numFmt w:val="japaneseCounting"/>
      <w:lvlText w:val="%1、"/>
      <w:lvlJc w:val="left"/>
      <w:pPr>
        <w:tabs>
          <w:tab w:val="left" w:pos="1280"/>
        </w:tabs>
        <w:ind w:left="1280" w:hanging="720"/>
        <w:textAlignment w:val="baseline"/>
      </w:pPr>
    </w:lvl>
    <w:lvl w:ilvl="1" w:tentative="0">
      <w:start w:val="1"/>
      <w:numFmt w:val="lowerLetter"/>
      <w:lvlText w:val="%1)"/>
      <w:lvlJc w:val="left"/>
      <w:pPr>
        <w:tabs>
          <w:tab w:val="left" w:pos="1400"/>
        </w:tabs>
        <w:ind w:left="1400" w:hanging="420"/>
        <w:textAlignment w:val="baseline"/>
      </w:pPr>
    </w:lvl>
    <w:lvl w:ilvl="2" w:tentative="0">
      <w:start w:val="1"/>
      <w:numFmt w:val="lowerRoman"/>
      <w:pStyle w:val="74"/>
      <w:lvlText w:val="%1."/>
      <w:lvlJc w:val="right"/>
      <w:pPr>
        <w:tabs>
          <w:tab w:val="left" w:pos="1820"/>
        </w:tabs>
        <w:ind w:left="1820" w:hanging="420"/>
        <w:textAlignment w:val="baseline"/>
      </w:pPr>
    </w:lvl>
    <w:lvl w:ilvl="3" w:tentative="0">
      <w:start w:val="1"/>
      <w:numFmt w:val="decimal"/>
      <w:lvlText w:val="%1."/>
      <w:lvlJc w:val="left"/>
      <w:pPr>
        <w:tabs>
          <w:tab w:val="left" w:pos="2240"/>
        </w:tabs>
        <w:ind w:left="2240" w:hanging="420"/>
        <w:textAlignment w:val="baseline"/>
      </w:pPr>
    </w:lvl>
    <w:lvl w:ilvl="4" w:tentative="0">
      <w:start w:val="1"/>
      <w:numFmt w:val="lowerLetter"/>
      <w:lvlText w:val="%1)"/>
      <w:lvlJc w:val="left"/>
      <w:pPr>
        <w:tabs>
          <w:tab w:val="left" w:pos="2660"/>
        </w:tabs>
        <w:ind w:left="2660" w:hanging="420"/>
        <w:textAlignment w:val="baseline"/>
      </w:pPr>
    </w:lvl>
    <w:lvl w:ilvl="5" w:tentative="0">
      <w:start w:val="1"/>
      <w:numFmt w:val="lowerRoman"/>
      <w:lvlText w:val="%1."/>
      <w:lvlJc w:val="right"/>
      <w:pPr>
        <w:tabs>
          <w:tab w:val="left" w:pos="3080"/>
        </w:tabs>
        <w:ind w:left="3080" w:hanging="420"/>
        <w:textAlignment w:val="baseline"/>
      </w:pPr>
    </w:lvl>
    <w:lvl w:ilvl="6" w:tentative="0">
      <w:start w:val="1"/>
      <w:numFmt w:val="decimal"/>
      <w:lvlText w:val="%1."/>
      <w:lvlJc w:val="left"/>
      <w:pPr>
        <w:tabs>
          <w:tab w:val="left" w:pos="3500"/>
        </w:tabs>
        <w:ind w:left="3500" w:hanging="420"/>
        <w:textAlignment w:val="baseline"/>
      </w:pPr>
    </w:lvl>
    <w:lvl w:ilvl="7" w:tentative="0">
      <w:start w:val="1"/>
      <w:numFmt w:val="lowerLetter"/>
      <w:lvlText w:val="%1)"/>
      <w:lvlJc w:val="left"/>
      <w:pPr>
        <w:tabs>
          <w:tab w:val="left" w:pos="3920"/>
        </w:tabs>
        <w:ind w:left="3920" w:hanging="420"/>
        <w:textAlignment w:val="baseline"/>
      </w:pPr>
    </w:lvl>
    <w:lvl w:ilvl="8" w:tentative="0">
      <w:start w:val="1"/>
      <w:numFmt w:val="lowerRoman"/>
      <w:lvlText w:val="%1."/>
      <w:lvlJc w:val="right"/>
      <w:pPr>
        <w:tabs>
          <w:tab w:val="left" w:pos="4340"/>
        </w:tabs>
        <w:ind w:left="4340" w:hanging="420"/>
        <w:textAlignment w:val="baseline"/>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compat>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I3MmFlM2Q3MzFmODk1YTc2M2ViNTFkZDc2NDk3MjcifQ=="/>
  </w:docVars>
  <w:rsids>
    <w:rsidRoot w:val="00256413"/>
    <w:rsid w:val="000046E4"/>
    <w:rsid w:val="000054B0"/>
    <w:rsid w:val="000308B7"/>
    <w:rsid w:val="00047A13"/>
    <w:rsid w:val="00052903"/>
    <w:rsid w:val="00065E2B"/>
    <w:rsid w:val="00066B10"/>
    <w:rsid w:val="00086EEA"/>
    <w:rsid w:val="00086FF6"/>
    <w:rsid w:val="00091425"/>
    <w:rsid w:val="00093528"/>
    <w:rsid w:val="000960BE"/>
    <w:rsid w:val="000A5E09"/>
    <w:rsid w:val="000C4A44"/>
    <w:rsid w:val="000E2D80"/>
    <w:rsid w:val="000F537A"/>
    <w:rsid w:val="00105785"/>
    <w:rsid w:val="00121AA6"/>
    <w:rsid w:val="00123F86"/>
    <w:rsid w:val="001544ED"/>
    <w:rsid w:val="00166DEC"/>
    <w:rsid w:val="0017352E"/>
    <w:rsid w:val="001B7916"/>
    <w:rsid w:val="001C6ED2"/>
    <w:rsid w:val="001D10AD"/>
    <w:rsid w:val="001F3BC3"/>
    <w:rsid w:val="002026B8"/>
    <w:rsid w:val="0021538C"/>
    <w:rsid w:val="0022653B"/>
    <w:rsid w:val="00231FD5"/>
    <w:rsid w:val="00243B6D"/>
    <w:rsid w:val="002525F4"/>
    <w:rsid w:val="00256413"/>
    <w:rsid w:val="00262B22"/>
    <w:rsid w:val="00280949"/>
    <w:rsid w:val="0029029B"/>
    <w:rsid w:val="002A089F"/>
    <w:rsid w:val="002A5B23"/>
    <w:rsid w:val="002B56EF"/>
    <w:rsid w:val="002C37C1"/>
    <w:rsid w:val="002C4DD1"/>
    <w:rsid w:val="002C62D8"/>
    <w:rsid w:val="002D0A1A"/>
    <w:rsid w:val="002E19AE"/>
    <w:rsid w:val="002E4DB6"/>
    <w:rsid w:val="002F44D2"/>
    <w:rsid w:val="00305DE4"/>
    <w:rsid w:val="00324C9E"/>
    <w:rsid w:val="00325097"/>
    <w:rsid w:val="003412CE"/>
    <w:rsid w:val="0034652E"/>
    <w:rsid w:val="00355629"/>
    <w:rsid w:val="003559CB"/>
    <w:rsid w:val="00360833"/>
    <w:rsid w:val="00366EEC"/>
    <w:rsid w:val="00371BBF"/>
    <w:rsid w:val="003774A9"/>
    <w:rsid w:val="00394014"/>
    <w:rsid w:val="00394CB3"/>
    <w:rsid w:val="003C6774"/>
    <w:rsid w:val="003E6028"/>
    <w:rsid w:val="00400470"/>
    <w:rsid w:val="00400F8D"/>
    <w:rsid w:val="00422814"/>
    <w:rsid w:val="00422FC5"/>
    <w:rsid w:val="004315C3"/>
    <w:rsid w:val="00432DBE"/>
    <w:rsid w:val="0043632F"/>
    <w:rsid w:val="00462E55"/>
    <w:rsid w:val="0048627D"/>
    <w:rsid w:val="0049500D"/>
    <w:rsid w:val="004A046B"/>
    <w:rsid w:val="004A2FF9"/>
    <w:rsid w:val="004B67E7"/>
    <w:rsid w:val="004B7713"/>
    <w:rsid w:val="004C5E95"/>
    <w:rsid w:val="004D4F4D"/>
    <w:rsid w:val="004F2B4F"/>
    <w:rsid w:val="00500A62"/>
    <w:rsid w:val="0050199D"/>
    <w:rsid w:val="00503CC4"/>
    <w:rsid w:val="00524C1E"/>
    <w:rsid w:val="005352DE"/>
    <w:rsid w:val="0053670F"/>
    <w:rsid w:val="00550013"/>
    <w:rsid w:val="00554BB2"/>
    <w:rsid w:val="00584B2C"/>
    <w:rsid w:val="00585A69"/>
    <w:rsid w:val="005B190B"/>
    <w:rsid w:val="005B4D4C"/>
    <w:rsid w:val="005E0984"/>
    <w:rsid w:val="005E5910"/>
    <w:rsid w:val="005F1C22"/>
    <w:rsid w:val="006041ED"/>
    <w:rsid w:val="00605E92"/>
    <w:rsid w:val="00606033"/>
    <w:rsid w:val="00623CF3"/>
    <w:rsid w:val="00630D03"/>
    <w:rsid w:val="006539BA"/>
    <w:rsid w:val="006623F5"/>
    <w:rsid w:val="0066289E"/>
    <w:rsid w:val="0066445E"/>
    <w:rsid w:val="00666DE5"/>
    <w:rsid w:val="00684726"/>
    <w:rsid w:val="006A6215"/>
    <w:rsid w:val="006B2DF6"/>
    <w:rsid w:val="006C6765"/>
    <w:rsid w:val="006D4ED4"/>
    <w:rsid w:val="006F1508"/>
    <w:rsid w:val="006F6388"/>
    <w:rsid w:val="007173CC"/>
    <w:rsid w:val="0072199B"/>
    <w:rsid w:val="007257AE"/>
    <w:rsid w:val="007427A7"/>
    <w:rsid w:val="00743B0A"/>
    <w:rsid w:val="00756987"/>
    <w:rsid w:val="00761ED0"/>
    <w:rsid w:val="00774A71"/>
    <w:rsid w:val="0077661F"/>
    <w:rsid w:val="0078541E"/>
    <w:rsid w:val="007876A9"/>
    <w:rsid w:val="007A5356"/>
    <w:rsid w:val="007C1D0B"/>
    <w:rsid w:val="007D1424"/>
    <w:rsid w:val="007E718C"/>
    <w:rsid w:val="008105DD"/>
    <w:rsid w:val="00821EC5"/>
    <w:rsid w:val="00834B2C"/>
    <w:rsid w:val="00834F02"/>
    <w:rsid w:val="00846906"/>
    <w:rsid w:val="00850F7D"/>
    <w:rsid w:val="00855182"/>
    <w:rsid w:val="00884181"/>
    <w:rsid w:val="00893434"/>
    <w:rsid w:val="00894A47"/>
    <w:rsid w:val="00897673"/>
    <w:rsid w:val="00897985"/>
    <w:rsid w:val="008B5A40"/>
    <w:rsid w:val="008C0BBD"/>
    <w:rsid w:val="008C6195"/>
    <w:rsid w:val="008D6100"/>
    <w:rsid w:val="008E3D8D"/>
    <w:rsid w:val="008E4409"/>
    <w:rsid w:val="008F263B"/>
    <w:rsid w:val="00901875"/>
    <w:rsid w:val="00907E36"/>
    <w:rsid w:val="00910541"/>
    <w:rsid w:val="00913051"/>
    <w:rsid w:val="00916EF1"/>
    <w:rsid w:val="0092751D"/>
    <w:rsid w:val="00963F68"/>
    <w:rsid w:val="00966529"/>
    <w:rsid w:val="0096775F"/>
    <w:rsid w:val="00986233"/>
    <w:rsid w:val="00990FFF"/>
    <w:rsid w:val="009A56D6"/>
    <w:rsid w:val="009D7856"/>
    <w:rsid w:val="009F6D31"/>
    <w:rsid w:val="00A01710"/>
    <w:rsid w:val="00A03045"/>
    <w:rsid w:val="00A05714"/>
    <w:rsid w:val="00A07C11"/>
    <w:rsid w:val="00A258F7"/>
    <w:rsid w:val="00A30062"/>
    <w:rsid w:val="00A47A83"/>
    <w:rsid w:val="00A60FD1"/>
    <w:rsid w:val="00A63075"/>
    <w:rsid w:val="00A63F51"/>
    <w:rsid w:val="00A643D1"/>
    <w:rsid w:val="00A70E44"/>
    <w:rsid w:val="00A83886"/>
    <w:rsid w:val="00A87EE3"/>
    <w:rsid w:val="00A97F9C"/>
    <w:rsid w:val="00AB164E"/>
    <w:rsid w:val="00AC4E8D"/>
    <w:rsid w:val="00AC72D8"/>
    <w:rsid w:val="00AC740A"/>
    <w:rsid w:val="00B23478"/>
    <w:rsid w:val="00B27D65"/>
    <w:rsid w:val="00B3311B"/>
    <w:rsid w:val="00B64526"/>
    <w:rsid w:val="00B66DBF"/>
    <w:rsid w:val="00B716E8"/>
    <w:rsid w:val="00BA1716"/>
    <w:rsid w:val="00BA5940"/>
    <w:rsid w:val="00BE6AAE"/>
    <w:rsid w:val="00BE746E"/>
    <w:rsid w:val="00BF5A4E"/>
    <w:rsid w:val="00C011FD"/>
    <w:rsid w:val="00C1246F"/>
    <w:rsid w:val="00C15BF0"/>
    <w:rsid w:val="00C30250"/>
    <w:rsid w:val="00C40367"/>
    <w:rsid w:val="00C52A4E"/>
    <w:rsid w:val="00C5694C"/>
    <w:rsid w:val="00C66A10"/>
    <w:rsid w:val="00C820D1"/>
    <w:rsid w:val="00C95357"/>
    <w:rsid w:val="00CB1213"/>
    <w:rsid w:val="00CC20F6"/>
    <w:rsid w:val="00CE2AEA"/>
    <w:rsid w:val="00CF3DCA"/>
    <w:rsid w:val="00D15CC1"/>
    <w:rsid w:val="00D17642"/>
    <w:rsid w:val="00D23768"/>
    <w:rsid w:val="00D46640"/>
    <w:rsid w:val="00D701C2"/>
    <w:rsid w:val="00D720A0"/>
    <w:rsid w:val="00D72BD6"/>
    <w:rsid w:val="00D75F14"/>
    <w:rsid w:val="00D92EFD"/>
    <w:rsid w:val="00D95025"/>
    <w:rsid w:val="00DC6967"/>
    <w:rsid w:val="00DC6F24"/>
    <w:rsid w:val="00DD1D70"/>
    <w:rsid w:val="00DD6C0B"/>
    <w:rsid w:val="00DE0CD3"/>
    <w:rsid w:val="00DE56EC"/>
    <w:rsid w:val="00E13C3A"/>
    <w:rsid w:val="00E20B93"/>
    <w:rsid w:val="00E21704"/>
    <w:rsid w:val="00E3168F"/>
    <w:rsid w:val="00E404FF"/>
    <w:rsid w:val="00E40756"/>
    <w:rsid w:val="00E431F1"/>
    <w:rsid w:val="00E52727"/>
    <w:rsid w:val="00E602F9"/>
    <w:rsid w:val="00E71C43"/>
    <w:rsid w:val="00E74A1E"/>
    <w:rsid w:val="00E822E9"/>
    <w:rsid w:val="00E97D05"/>
    <w:rsid w:val="00EB5477"/>
    <w:rsid w:val="00ED2017"/>
    <w:rsid w:val="00EF6D59"/>
    <w:rsid w:val="00F053DC"/>
    <w:rsid w:val="00F23784"/>
    <w:rsid w:val="00F24908"/>
    <w:rsid w:val="00F51C4D"/>
    <w:rsid w:val="00F53EFF"/>
    <w:rsid w:val="00FB1ED7"/>
    <w:rsid w:val="00FC1D4A"/>
    <w:rsid w:val="00FD54CA"/>
    <w:rsid w:val="00FD665E"/>
    <w:rsid w:val="00FE1211"/>
    <w:rsid w:val="00FE3722"/>
    <w:rsid w:val="00FE3CAC"/>
    <w:rsid w:val="01EE47D1"/>
    <w:rsid w:val="04735563"/>
    <w:rsid w:val="051F7F62"/>
    <w:rsid w:val="0554422D"/>
    <w:rsid w:val="06DB7AD8"/>
    <w:rsid w:val="079A6B0E"/>
    <w:rsid w:val="08765AB7"/>
    <w:rsid w:val="08A57381"/>
    <w:rsid w:val="08A71E0E"/>
    <w:rsid w:val="0A527669"/>
    <w:rsid w:val="0CA507CB"/>
    <w:rsid w:val="0CBF2263"/>
    <w:rsid w:val="0CC934DE"/>
    <w:rsid w:val="0D782A7C"/>
    <w:rsid w:val="0DA11FD2"/>
    <w:rsid w:val="0DFD0EF5"/>
    <w:rsid w:val="0E0410B4"/>
    <w:rsid w:val="102662A6"/>
    <w:rsid w:val="10BD6D92"/>
    <w:rsid w:val="11286CB8"/>
    <w:rsid w:val="123D5E33"/>
    <w:rsid w:val="13901283"/>
    <w:rsid w:val="156D0C34"/>
    <w:rsid w:val="15AB5627"/>
    <w:rsid w:val="16C3745D"/>
    <w:rsid w:val="18E13BCB"/>
    <w:rsid w:val="1918025F"/>
    <w:rsid w:val="1B423134"/>
    <w:rsid w:val="1B9370FA"/>
    <w:rsid w:val="1B974DF1"/>
    <w:rsid w:val="1CA57919"/>
    <w:rsid w:val="1DE8275D"/>
    <w:rsid w:val="1F9B7FFA"/>
    <w:rsid w:val="209E4DEA"/>
    <w:rsid w:val="21B727E8"/>
    <w:rsid w:val="21FE3FDC"/>
    <w:rsid w:val="23450C56"/>
    <w:rsid w:val="23621DAC"/>
    <w:rsid w:val="242E47D0"/>
    <w:rsid w:val="25F07CCE"/>
    <w:rsid w:val="2A2E0C3A"/>
    <w:rsid w:val="2A5A37DD"/>
    <w:rsid w:val="2C0C11C9"/>
    <w:rsid w:val="2D5E39B5"/>
    <w:rsid w:val="32096768"/>
    <w:rsid w:val="33EC0765"/>
    <w:rsid w:val="34374380"/>
    <w:rsid w:val="38994363"/>
    <w:rsid w:val="3A080B60"/>
    <w:rsid w:val="3C015113"/>
    <w:rsid w:val="41BB2D74"/>
    <w:rsid w:val="44885634"/>
    <w:rsid w:val="468C2B19"/>
    <w:rsid w:val="47BA0462"/>
    <w:rsid w:val="4AE703FC"/>
    <w:rsid w:val="4BEA4569"/>
    <w:rsid w:val="4D141E4B"/>
    <w:rsid w:val="4D61085B"/>
    <w:rsid w:val="51B31ED4"/>
    <w:rsid w:val="561527D6"/>
    <w:rsid w:val="56A9689B"/>
    <w:rsid w:val="570132F9"/>
    <w:rsid w:val="5ABD0AB2"/>
    <w:rsid w:val="5DC27077"/>
    <w:rsid w:val="5EF00A9F"/>
    <w:rsid w:val="5F932217"/>
    <w:rsid w:val="5FCD7031"/>
    <w:rsid w:val="60133C67"/>
    <w:rsid w:val="601479AF"/>
    <w:rsid w:val="611B4D6D"/>
    <w:rsid w:val="61E914DA"/>
    <w:rsid w:val="62A5376E"/>
    <w:rsid w:val="636B1FDC"/>
    <w:rsid w:val="642A32A0"/>
    <w:rsid w:val="668F5FE1"/>
    <w:rsid w:val="68D6620B"/>
    <w:rsid w:val="69253816"/>
    <w:rsid w:val="6AD6472B"/>
    <w:rsid w:val="6E286E64"/>
    <w:rsid w:val="70AD28C7"/>
    <w:rsid w:val="70F66DDB"/>
    <w:rsid w:val="72C76CDD"/>
    <w:rsid w:val="741C4BB6"/>
    <w:rsid w:val="74DC4AE7"/>
    <w:rsid w:val="75AF618F"/>
    <w:rsid w:val="764061F8"/>
    <w:rsid w:val="77F6202B"/>
    <w:rsid w:val="789E7302"/>
    <w:rsid w:val="79900214"/>
    <w:rsid w:val="79FF6646"/>
    <w:rsid w:val="7AE50D8C"/>
    <w:rsid w:val="7C6B796B"/>
    <w:rsid w:val="7CB55088"/>
    <w:rsid w:val="7DB64FC0"/>
    <w:rsid w:val="7E4B73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ascii="宋体" w:hAnsi="宋体"/>
      <w:b/>
      <w:kern w:val="44"/>
      <w:sz w:val="48"/>
      <w:szCs w:val="48"/>
    </w:rPr>
  </w:style>
  <w:style w:type="paragraph" w:styleId="3">
    <w:name w:val="heading 3"/>
    <w:basedOn w:val="1"/>
    <w:next w:val="1"/>
    <w:qFormat/>
    <w:uiPriority w:val="0"/>
    <w:pPr>
      <w:keepNext/>
      <w:keepLines/>
      <w:spacing w:before="260" w:after="260" w:line="416" w:lineRule="auto"/>
      <w:outlineLvl w:val="2"/>
    </w:pPr>
    <w:rPr>
      <w:b/>
      <w:bCs/>
      <w:kern w:val="0"/>
      <w:sz w:val="32"/>
      <w:szCs w:val="32"/>
    </w:rPr>
  </w:style>
  <w:style w:type="paragraph" w:styleId="4">
    <w:name w:val="heading 4"/>
    <w:basedOn w:val="1"/>
    <w:next w:val="1"/>
    <w:qFormat/>
    <w:uiPriority w:val="0"/>
    <w:pPr>
      <w:widowControl/>
      <w:tabs>
        <w:tab w:val="left" w:pos="567"/>
        <w:tab w:val="left" w:pos="1080"/>
      </w:tabs>
      <w:spacing w:after="120"/>
      <w:jc w:val="left"/>
      <w:outlineLvl w:val="3"/>
    </w:pPr>
    <w:rPr>
      <w:kern w:val="0"/>
      <w:sz w:val="24"/>
      <w:lang w:val="en-NZ"/>
    </w:rPr>
  </w:style>
  <w:style w:type="paragraph" w:styleId="5">
    <w:name w:val="heading 5"/>
    <w:basedOn w:val="1"/>
    <w:next w:val="1"/>
    <w:qFormat/>
    <w:uiPriority w:val="0"/>
    <w:pPr>
      <w:widowControl/>
      <w:tabs>
        <w:tab w:val="left" w:pos="1021"/>
      </w:tabs>
      <w:spacing w:before="240" w:after="120"/>
      <w:jc w:val="left"/>
      <w:outlineLvl w:val="4"/>
    </w:pPr>
    <w:rPr>
      <w:rFonts w:ascii="Arial Narrow" w:hAnsi="Arial Narrow"/>
      <w:i/>
      <w:kern w:val="0"/>
      <w:sz w:val="24"/>
      <w:szCs w:val="20"/>
      <w:lang w:val="en-NZ"/>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qFormat/>
    <w:uiPriority w:val="0"/>
    <w:pPr>
      <w:ind w:left="2940"/>
    </w:pPr>
  </w:style>
  <w:style w:type="paragraph" w:styleId="7">
    <w:name w:val="Normal Indent"/>
    <w:basedOn w:val="1"/>
    <w:qFormat/>
    <w:uiPriority w:val="0"/>
    <w:pPr>
      <w:ind w:firstLine="420" w:firstLineChars="200"/>
    </w:pPr>
    <w:rPr>
      <w:sz w:val="28"/>
      <w:szCs w:val="20"/>
    </w:rPr>
  </w:style>
  <w:style w:type="paragraph" w:styleId="8">
    <w:name w:val="Body Text"/>
    <w:basedOn w:val="1"/>
    <w:unhideWhenUsed/>
    <w:qFormat/>
    <w:uiPriority w:val="0"/>
    <w:pPr>
      <w:spacing w:after="120"/>
    </w:pPr>
    <w:rPr>
      <w:rFonts w:ascii="等线" w:hAnsi="等线" w:eastAsia="等线"/>
      <w:kern w:val="0"/>
      <w:sz w:val="20"/>
      <w:szCs w:val="20"/>
    </w:rPr>
  </w:style>
  <w:style w:type="paragraph" w:styleId="9">
    <w:name w:val="Body Text Indent"/>
    <w:basedOn w:val="1"/>
    <w:qFormat/>
    <w:uiPriority w:val="0"/>
    <w:pPr>
      <w:spacing w:line="200" w:lineRule="exact"/>
      <w:ind w:firstLine="301"/>
    </w:pPr>
    <w:rPr>
      <w:rFonts w:ascii="宋体" w:hAnsi="Courier New"/>
      <w:spacing w:val="-4"/>
      <w:sz w:val="18"/>
      <w:szCs w:val="20"/>
    </w:rPr>
  </w:style>
  <w:style w:type="paragraph" w:styleId="10">
    <w:name w:val="Plain Text"/>
    <w:basedOn w:val="1"/>
    <w:link w:val="88"/>
    <w:qFormat/>
    <w:uiPriority w:val="0"/>
    <w:rPr>
      <w:rFonts w:ascii="宋体" w:hAnsi="Courier New"/>
      <w:szCs w:val="21"/>
    </w:rPr>
  </w:style>
  <w:style w:type="paragraph" w:styleId="11">
    <w:name w:val="Date"/>
    <w:basedOn w:val="1"/>
    <w:next w:val="1"/>
    <w:link w:val="91"/>
    <w:qFormat/>
    <w:uiPriority w:val="0"/>
    <w:pPr>
      <w:ind w:left="100" w:leftChars="2500"/>
    </w:pPr>
  </w:style>
  <w:style w:type="paragraph" w:styleId="12">
    <w:name w:val="Body Text Indent 2"/>
    <w:basedOn w:val="1"/>
    <w:qFormat/>
    <w:uiPriority w:val="0"/>
    <w:pPr>
      <w:ind w:firstLine="630"/>
    </w:pPr>
    <w:rPr>
      <w:rFonts w:ascii="Calibri" w:hAnsi="Calibri"/>
      <w:sz w:val="32"/>
      <w:szCs w:val="22"/>
    </w:rPr>
  </w:style>
  <w:style w:type="paragraph" w:styleId="13">
    <w:name w:val="Balloon Text"/>
    <w:basedOn w:val="1"/>
    <w:link w:val="86"/>
    <w:qFormat/>
    <w:uiPriority w:val="0"/>
    <w:rPr>
      <w:sz w:val="18"/>
      <w:szCs w:val="18"/>
    </w:rPr>
  </w:style>
  <w:style w:type="paragraph" w:styleId="14">
    <w:name w:val="footer"/>
    <w:basedOn w:val="1"/>
    <w:next w:val="1"/>
    <w:link w:val="52"/>
    <w:qFormat/>
    <w:uiPriority w:val="0"/>
    <w:pPr>
      <w:tabs>
        <w:tab w:val="center" w:pos="4153"/>
        <w:tab w:val="right" w:pos="8306"/>
      </w:tabs>
      <w:snapToGrid w:val="0"/>
      <w:jc w:val="left"/>
    </w:pPr>
    <w:rPr>
      <w:sz w:val="18"/>
      <w:szCs w:val="18"/>
    </w:rPr>
  </w:style>
  <w:style w:type="paragraph" w:styleId="15">
    <w:name w:val="header"/>
    <w:basedOn w:val="1"/>
    <w:link w:val="47"/>
    <w:qFormat/>
    <w:uiPriority w:val="0"/>
    <w:pPr>
      <w:pBdr>
        <w:bottom w:val="single" w:color="000000" w:sz="6" w:space="1"/>
      </w:pBdr>
      <w:tabs>
        <w:tab w:val="center" w:pos="4153"/>
        <w:tab w:val="right" w:pos="8306"/>
      </w:tabs>
      <w:snapToGrid w:val="0"/>
      <w:jc w:val="center"/>
    </w:pPr>
    <w:rPr>
      <w:sz w:val="18"/>
      <w:szCs w:val="18"/>
    </w:rPr>
  </w:style>
  <w:style w:type="paragraph" w:styleId="16">
    <w:name w:val="toc 1"/>
    <w:basedOn w:val="1"/>
    <w:next w:val="1"/>
    <w:qFormat/>
    <w:uiPriority w:val="0"/>
    <w:pPr>
      <w:spacing w:line="360" w:lineRule="auto"/>
      <w:ind w:firstLine="480" w:firstLineChars="200"/>
    </w:pPr>
    <w:rPr>
      <w:sz w:val="24"/>
      <w:szCs w:val="21"/>
    </w:rPr>
  </w:style>
  <w:style w:type="paragraph" w:styleId="17">
    <w:name w:val="Normal (Web)"/>
    <w:basedOn w:val="1"/>
    <w:qFormat/>
    <w:uiPriority w:val="0"/>
    <w:pPr>
      <w:spacing w:before="0" w:beforeAutospacing="0" w:after="150" w:afterAutospacing="0"/>
      <w:ind w:left="0" w:right="0"/>
      <w:jc w:val="left"/>
    </w:pPr>
    <w:rPr>
      <w:kern w:val="0"/>
      <w:sz w:val="24"/>
      <w:lang w:val="en-US" w:eastAsia="zh-CN" w:bidi="ar"/>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rFonts w:cs="Times New Roman"/>
      <w:b/>
      <w:bCs/>
    </w:rPr>
  </w:style>
  <w:style w:type="character" w:styleId="22">
    <w:name w:val="FollowedHyperlink"/>
    <w:qFormat/>
    <w:uiPriority w:val="0"/>
    <w:rPr>
      <w:color w:val="333333"/>
    </w:rPr>
  </w:style>
  <w:style w:type="character" w:styleId="23">
    <w:name w:val="Emphasis"/>
    <w:basedOn w:val="20"/>
    <w:qFormat/>
    <w:uiPriority w:val="0"/>
    <w:rPr>
      <w:sz w:val="20"/>
      <w:szCs w:val="20"/>
    </w:rPr>
  </w:style>
  <w:style w:type="character" w:styleId="24">
    <w:name w:val="HTML Definition"/>
    <w:basedOn w:val="20"/>
    <w:qFormat/>
    <w:uiPriority w:val="0"/>
    <w:rPr>
      <w:i/>
      <w:iCs/>
    </w:rPr>
  </w:style>
  <w:style w:type="character" w:styleId="25">
    <w:name w:val="Hyperlink"/>
    <w:qFormat/>
    <w:uiPriority w:val="0"/>
    <w:rPr>
      <w:color w:val="333333"/>
    </w:rPr>
  </w:style>
  <w:style w:type="character" w:styleId="26">
    <w:name w:val="HTML Code"/>
    <w:basedOn w:val="20"/>
    <w:qFormat/>
    <w:uiPriority w:val="0"/>
    <w:rPr>
      <w:rFonts w:hint="default" w:ascii="Consolas" w:hAnsi="Consolas" w:eastAsia="Consolas" w:cs="Consolas"/>
      <w:color w:val="C7254E"/>
      <w:sz w:val="21"/>
      <w:szCs w:val="21"/>
      <w:shd w:val="clear" w:fill="F9F2F4"/>
    </w:rPr>
  </w:style>
  <w:style w:type="character" w:styleId="27">
    <w:name w:val="HTML Cite"/>
    <w:basedOn w:val="20"/>
    <w:qFormat/>
    <w:uiPriority w:val="0"/>
  </w:style>
  <w:style w:type="character" w:styleId="28">
    <w:name w:val="HTML Keyboard"/>
    <w:basedOn w:val="20"/>
    <w:qFormat/>
    <w:uiPriority w:val="0"/>
    <w:rPr>
      <w:rFonts w:hint="default" w:ascii="Consolas" w:hAnsi="Consolas" w:eastAsia="Consolas" w:cs="Consolas"/>
      <w:color w:val="FFFFFF"/>
      <w:sz w:val="21"/>
      <w:szCs w:val="21"/>
      <w:shd w:val="clear" w:fill="333333"/>
    </w:rPr>
  </w:style>
  <w:style w:type="character" w:styleId="29">
    <w:name w:val="HTML Sample"/>
    <w:basedOn w:val="20"/>
    <w:qFormat/>
    <w:uiPriority w:val="0"/>
    <w:rPr>
      <w:rFonts w:ascii="Consolas" w:hAnsi="Consolas" w:eastAsia="Consolas" w:cs="Consolas"/>
      <w:sz w:val="21"/>
      <w:szCs w:val="21"/>
    </w:rPr>
  </w:style>
  <w:style w:type="paragraph" w:customStyle="1" w:styleId="30">
    <w:name w:val="Heading1"/>
    <w:basedOn w:val="1"/>
    <w:next w:val="1"/>
    <w:link w:val="50"/>
    <w:qFormat/>
    <w:uiPriority w:val="0"/>
    <w:pPr>
      <w:spacing w:before="280" w:line="360" w:lineRule="auto"/>
      <w:ind w:left="432" w:hanging="432"/>
      <w:jc w:val="center"/>
    </w:pPr>
    <w:rPr>
      <w:rFonts w:ascii="Arial Black" w:hAnsi="Arial Black"/>
      <w:b/>
      <w:spacing w:val="20"/>
      <w:kern w:val="0"/>
      <w:sz w:val="44"/>
      <w:szCs w:val="20"/>
    </w:rPr>
  </w:style>
  <w:style w:type="paragraph" w:customStyle="1" w:styleId="31">
    <w:name w:val="Heading2"/>
    <w:basedOn w:val="1"/>
    <w:next w:val="1"/>
    <w:qFormat/>
    <w:uiPriority w:val="0"/>
    <w:pPr>
      <w:keepNext/>
      <w:keepLines/>
      <w:spacing w:before="260" w:after="260" w:line="416" w:lineRule="auto"/>
    </w:pPr>
    <w:rPr>
      <w:rFonts w:ascii="Arial" w:hAnsi="Arial" w:eastAsia="黑体"/>
      <w:b/>
      <w:bCs/>
      <w:sz w:val="32"/>
      <w:szCs w:val="32"/>
    </w:rPr>
  </w:style>
  <w:style w:type="paragraph" w:customStyle="1" w:styleId="32">
    <w:name w:val="Heading3"/>
    <w:basedOn w:val="1"/>
    <w:next w:val="1"/>
    <w:qFormat/>
    <w:uiPriority w:val="0"/>
    <w:pPr>
      <w:keepNext/>
      <w:keepLines/>
      <w:spacing w:before="260" w:after="260" w:line="416" w:lineRule="auto"/>
    </w:pPr>
    <w:rPr>
      <w:b/>
      <w:bCs/>
      <w:sz w:val="32"/>
      <w:szCs w:val="32"/>
    </w:rPr>
  </w:style>
  <w:style w:type="paragraph" w:customStyle="1" w:styleId="33">
    <w:name w:val="Heading4"/>
    <w:basedOn w:val="1"/>
    <w:next w:val="1"/>
    <w:qFormat/>
    <w:uiPriority w:val="0"/>
    <w:pPr>
      <w:keepNext/>
      <w:keepLines/>
      <w:spacing w:before="280" w:after="290" w:line="376" w:lineRule="auto"/>
    </w:pPr>
    <w:rPr>
      <w:rFonts w:ascii="Arial" w:hAnsi="Arial" w:eastAsia="黑体"/>
      <w:b/>
      <w:bCs/>
      <w:sz w:val="28"/>
      <w:szCs w:val="28"/>
    </w:rPr>
  </w:style>
  <w:style w:type="paragraph" w:customStyle="1" w:styleId="34">
    <w:name w:val="Heading6"/>
    <w:basedOn w:val="1"/>
    <w:next w:val="1"/>
    <w:link w:val="62"/>
    <w:qFormat/>
    <w:uiPriority w:val="0"/>
    <w:pPr>
      <w:keepNext/>
      <w:keepLines/>
      <w:spacing w:before="240" w:after="64" w:line="320" w:lineRule="auto"/>
    </w:pPr>
    <w:rPr>
      <w:rFonts w:ascii="Arial" w:hAnsi="Arial" w:eastAsia="黑体"/>
      <w:b/>
      <w:bCs/>
      <w:sz w:val="24"/>
    </w:rPr>
  </w:style>
  <w:style w:type="paragraph" w:customStyle="1" w:styleId="35">
    <w:name w:val="Heading7"/>
    <w:basedOn w:val="1"/>
    <w:next w:val="1"/>
    <w:link w:val="60"/>
    <w:qFormat/>
    <w:uiPriority w:val="0"/>
    <w:pPr>
      <w:keepNext/>
      <w:keepLines/>
      <w:spacing w:before="240" w:after="64" w:line="320" w:lineRule="auto"/>
      <w:jc w:val="left"/>
    </w:pPr>
    <w:rPr>
      <w:b/>
      <w:bCs/>
      <w:sz w:val="24"/>
    </w:rPr>
  </w:style>
  <w:style w:type="character" w:customStyle="1" w:styleId="36">
    <w:name w:val="NormalCharacter"/>
    <w:semiHidden/>
    <w:qFormat/>
    <w:uiPriority w:val="0"/>
  </w:style>
  <w:style w:type="table" w:customStyle="1" w:styleId="37">
    <w:name w:val="TableNormal"/>
    <w:semiHidden/>
    <w:qFormat/>
    <w:uiPriority w:val="0"/>
    <w:tblPr>
      <w:tblCellMar>
        <w:top w:w="0" w:type="dxa"/>
        <w:left w:w="0" w:type="dxa"/>
        <w:bottom w:w="0" w:type="dxa"/>
        <w:right w:w="0" w:type="dxa"/>
      </w:tblCellMar>
    </w:tblPr>
  </w:style>
  <w:style w:type="character" w:customStyle="1" w:styleId="38">
    <w:name w:val="UserStyle_0"/>
    <w:link w:val="39"/>
    <w:qFormat/>
    <w:uiPriority w:val="0"/>
    <w:rPr>
      <w:rFonts w:ascii="宋体" w:hAnsi="Courier New" w:eastAsia="宋体"/>
      <w:kern w:val="2"/>
      <w:sz w:val="21"/>
      <w:lang w:val="en-US" w:eastAsia="zh-CN" w:bidi="ar-SA"/>
    </w:rPr>
  </w:style>
  <w:style w:type="paragraph" w:customStyle="1" w:styleId="39">
    <w:name w:val="PlainText"/>
    <w:basedOn w:val="1"/>
    <w:link w:val="38"/>
    <w:qFormat/>
    <w:uiPriority w:val="0"/>
    <w:rPr>
      <w:rFonts w:ascii="宋体" w:hAnsi="Courier New"/>
      <w:szCs w:val="20"/>
    </w:rPr>
  </w:style>
  <w:style w:type="character" w:customStyle="1" w:styleId="40">
    <w:name w:val="UserStyle_1"/>
    <w:qFormat/>
    <w:uiPriority w:val="0"/>
    <w:rPr>
      <w:rFonts w:ascii="宋体" w:hAnsi="Courier New" w:eastAsia="宋体"/>
      <w:szCs w:val="21"/>
      <w:lang w:bidi="ar-SA"/>
    </w:rPr>
  </w:style>
  <w:style w:type="character" w:customStyle="1" w:styleId="41">
    <w:name w:val="UserStyle_2"/>
    <w:link w:val="42"/>
    <w:semiHidden/>
    <w:qFormat/>
    <w:locked/>
    <w:uiPriority w:val="0"/>
    <w:rPr>
      <w:rFonts w:eastAsia="宋体" w:cs="Times New Roman"/>
      <w:b/>
      <w:bCs/>
      <w:kern w:val="2"/>
      <w:sz w:val="21"/>
      <w:szCs w:val="24"/>
      <w:lang w:val="en-US" w:eastAsia="zh-CN" w:bidi="ar-SA"/>
    </w:rPr>
  </w:style>
  <w:style w:type="paragraph" w:customStyle="1" w:styleId="42">
    <w:name w:val="AnnotationSubject"/>
    <w:basedOn w:val="43"/>
    <w:next w:val="43"/>
    <w:link w:val="41"/>
    <w:semiHidden/>
    <w:qFormat/>
    <w:uiPriority w:val="0"/>
    <w:rPr>
      <w:b/>
      <w:bCs/>
    </w:rPr>
  </w:style>
  <w:style w:type="paragraph" w:customStyle="1" w:styleId="43">
    <w:name w:val="AnnotationText"/>
    <w:basedOn w:val="1"/>
    <w:link w:val="46"/>
    <w:semiHidden/>
    <w:qFormat/>
    <w:uiPriority w:val="0"/>
    <w:pPr>
      <w:jc w:val="left"/>
    </w:pPr>
  </w:style>
  <w:style w:type="character" w:customStyle="1" w:styleId="44">
    <w:name w:val="UserStyle_3"/>
    <w:link w:val="45"/>
    <w:qFormat/>
    <w:locked/>
    <w:uiPriority w:val="0"/>
    <w:rPr>
      <w:rFonts w:ascii="黑体" w:hAnsi="黑体" w:eastAsia="黑体"/>
      <w:kern w:val="2"/>
      <w:sz w:val="24"/>
      <w:szCs w:val="24"/>
      <w:lang w:bidi="ar-SA"/>
    </w:rPr>
  </w:style>
  <w:style w:type="paragraph" w:customStyle="1" w:styleId="45">
    <w:name w:val="UserStyle_4"/>
    <w:basedOn w:val="1"/>
    <w:link w:val="44"/>
    <w:qFormat/>
    <w:uiPriority w:val="0"/>
    <w:pPr>
      <w:spacing w:line="360" w:lineRule="auto"/>
      <w:ind w:firstLine="200" w:firstLineChars="200"/>
    </w:pPr>
    <w:rPr>
      <w:rFonts w:ascii="黑体" w:hAnsi="黑体" w:eastAsia="黑体"/>
      <w:sz w:val="24"/>
    </w:rPr>
  </w:style>
  <w:style w:type="character" w:customStyle="1" w:styleId="46">
    <w:name w:val="UserStyle_5"/>
    <w:link w:val="43"/>
    <w:qFormat/>
    <w:uiPriority w:val="0"/>
    <w:rPr>
      <w:rFonts w:eastAsia="宋体"/>
      <w:kern w:val="2"/>
      <w:sz w:val="21"/>
      <w:szCs w:val="24"/>
      <w:lang w:val="en-US" w:eastAsia="zh-CN" w:bidi="ar-SA"/>
    </w:rPr>
  </w:style>
  <w:style w:type="character" w:customStyle="1" w:styleId="47">
    <w:name w:val="页眉 字符"/>
    <w:link w:val="15"/>
    <w:qFormat/>
    <w:locked/>
    <w:uiPriority w:val="0"/>
    <w:rPr>
      <w:rFonts w:eastAsia="宋体"/>
      <w:kern w:val="2"/>
      <w:sz w:val="18"/>
      <w:szCs w:val="18"/>
      <w:lang w:val="en-US" w:eastAsia="zh-CN" w:bidi="ar-SA"/>
    </w:rPr>
  </w:style>
  <w:style w:type="character" w:customStyle="1" w:styleId="48">
    <w:name w:val="UserStyle_7"/>
    <w:qFormat/>
    <w:locked/>
    <w:uiPriority w:val="0"/>
    <w:rPr>
      <w:rFonts w:ascii="宋体" w:hAnsi="Courier New"/>
      <w:kern w:val="2"/>
      <w:sz w:val="21"/>
      <w:szCs w:val="21"/>
      <w:lang w:bidi="ar-SA"/>
    </w:rPr>
  </w:style>
  <w:style w:type="character" w:customStyle="1" w:styleId="49">
    <w:name w:val="PageNumber"/>
    <w:basedOn w:val="36"/>
    <w:qFormat/>
    <w:uiPriority w:val="0"/>
  </w:style>
  <w:style w:type="character" w:customStyle="1" w:styleId="50">
    <w:name w:val="UserStyle_8"/>
    <w:link w:val="30"/>
    <w:qFormat/>
    <w:uiPriority w:val="0"/>
    <w:rPr>
      <w:rFonts w:ascii="Arial Black" w:hAnsi="Arial Black" w:eastAsia="宋体"/>
      <w:b/>
      <w:spacing w:val="20"/>
      <w:sz w:val="44"/>
      <w:lang w:val="en-US" w:eastAsia="zh-CN" w:bidi="ar-SA"/>
    </w:rPr>
  </w:style>
  <w:style w:type="character" w:customStyle="1" w:styleId="51">
    <w:name w:val="AnnotationReference"/>
    <w:semiHidden/>
    <w:qFormat/>
    <w:uiPriority w:val="0"/>
    <w:rPr>
      <w:sz w:val="21"/>
      <w:szCs w:val="21"/>
    </w:rPr>
  </w:style>
  <w:style w:type="character" w:customStyle="1" w:styleId="52">
    <w:name w:val="页脚 字符"/>
    <w:link w:val="14"/>
    <w:qFormat/>
    <w:uiPriority w:val="0"/>
    <w:rPr>
      <w:kern w:val="2"/>
      <w:sz w:val="18"/>
      <w:szCs w:val="18"/>
    </w:rPr>
  </w:style>
  <w:style w:type="character" w:customStyle="1" w:styleId="53">
    <w:name w:val="UserStyle_10"/>
    <w:qFormat/>
    <w:uiPriority w:val="0"/>
    <w:rPr>
      <w:rFonts w:eastAsia="宋体"/>
      <w:kern w:val="2"/>
      <w:sz w:val="21"/>
      <w:szCs w:val="24"/>
      <w:lang w:val="en-US" w:eastAsia="zh-CN" w:bidi="ar-SA"/>
    </w:rPr>
  </w:style>
  <w:style w:type="character" w:customStyle="1" w:styleId="54">
    <w:name w:val="UserStyle_11"/>
    <w:basedOn w:val="36"/>
    <w:qFormat/>
    <w:uiPriority w:val="0"/>
  </w:style>
  <w:style w:type="character" w:customStyle="1" w:styleId="55">
    <w:name w:val="UserStyle_12"/>
    <w:link w:val="56"/>
    <w:qFormat/>
    <w:uiPriority w:val="0"/>
    <w:rPr>
      <w:kern w:val="2"/>
      <w:sz w:val="21"/>
      <w:lang w:bidi="ar-SA"/>
    </w:rPr>
  </w:style>
  <w:style w:type="paragraph" w:customStyle="1" w:styleId="56">
    <w:name w:val="UserStyle_13"/>
    <w:basedOn w:val="1"/>
    <w:link w:val="55"/>
    <w:qFormat/>
    <w:uiPriority w:val="0"/>
    <w:pPr>
      <w:spacing w:line="360" w:lineRule="auto"/>
      <w:ind w:firstLine="420" w:firstLineChars="200"/>
      <w:jc w:val="left"/>
    </w:pPr>
    <w:rPr>
      <w:szCs w:val="20"/>
    </w:rPr>
  </w:style>
  <w:style w:type="character" w:customStyle="1" w:styleId="57">
    <w:name w:val="UserStyle_14"/>
    <w:link w:val="58"/>
    <w:semiHidden/>
    <w:qFormat/>
    <w:locked/>
    <w:uiPriority w:val="0"/>
    <w:rPr>
      <w:rFonts w:eastAsia="宋体"/>
      <w:kern w:val="2"/>
      <w:sz w:val="21"/>
      <w:szCs w:val="24"/>
      <w:lang w:val="en-US" w:eastAsia="zh-CN" w:bidi="ar-SA"/>
    </w:rPr>
  </w:style>
  <w:style w:type="paragraph" w:customStyle="1" w:styleId="58">
    <w:name w:val="BodyText1I"/>
    <w:basedOn w:val="59"/>
    <w:link w:val="57"/>
    <w:qFormat/>
    <w:uiPriority w:val="0"/>
    <w:pPr>
      <w:ind w:firstLine="420" w:firstLineChars="100"/>
    </w:pPr>
  </w:style>
  <w:style w:type="paragraph" w:customStyle="1" w:styleId="59">
    <w:name w:val="BodyText"/>
    <w:basedOn w:val="1"/>
    <w:qFormat/>
    <w:uiPriority w:val="0"/>
    <w:pPr>
      <w:spacing w:after="120"/>
    </w:pPr>
  </w:style>
  <w:style w:type="character" w:customStyle="1" w:styleId="60">
    <w:name w:val="UserStyle_15"/>
    <w:link w:val="35"/>
    <w:semiHidden/>
    <w:qFormat/>
    <w:uiPriority w:val="0"/>
    <w:rPr>
      <w:rFonts w:eastAsia="宋体" w:cs="Times New Roman"/>
      <w:b/>
      <w:bCs/>
      <w:kern w:val="2"/>
      <w:sz w:val="24"/>
      <w:szCs w:val="24"/>
      <w:lang w:val="en-US" w:eastAsia="zh-CN" w:bidi="ar-SA"/>
    </w:rPr>
  </w:style>
  <w:style w:type="character" w:customStyle="1" w:styleId="61">
    <w:name w:val="UserStyle_16"/>
    <w:qFormat/>
    <w:uiPriority w:val="0"/>
    <w:rPr>
      <w:rFonts w:ascii="Arial" w:hAnsi="Arial" w:eastAsia="黑体" w:cs="Times New Roman"/>
      <w:b/>
      <w:bCs/>
      <w:kern w:val="2"/>
      <w:sz w:val="24"/>
      <w:szCs w:val="24"/>
      <w:lang w:val="en-US" w:eastAsia="zh-CN" w:bidi="ar-SA"/>
    </w:rPr>
  </w:style>
  <w:style w:type="character" w:customStyle="1" w:styleId="62">
    <w:name w:val="UserStyle_17"/>
    <w:link w:val="34"/>
    <w:qFormat/>
    <w:uiPriority w:val="0"/>
    <w:rPr>
      <w:rFonts w:ascii="Arial" w:hAnsi="Arial" w:eastAsia="黑体" w:cs="Times New Roman"/>
      <w:b/>
      <w:bCs/>
      <w:kern w:val="2"/>
      <w:sz w:val="24"/>
      <w:szCs w:val="24"/>
      <w:lang w:val="en-US" w:eastAsia="zh-CN" w:bidi="ar-SA"/>
    </w:rPr>
  </w:style>
  <w:style w:type="character" w:customStyle="1" w:styleId="63">
    <w:name w:val="UserStyle_18"/>
    <w:qFormat/>
    <w:uiPriority w:val="0"/>
    <w:rPr>
      <w:rFonts w:ascii="Arial Black" w:hAnsi="Arial Black" w:eastAsia="宋体"/>
      <w:b/>
      <w:spacing w:val="20"/>
      <w:sz w:val="44"/>
      <w:lang w:val="en-US" w:eastAsia="zh-CN" w:bidi="ar-SA"/>
    </w:rPr>
  </w:style>
  <w:style w:type="character" w:customStyle="1" w:styleId="64">
    <w:name w:val="UserStyle_19"/>
    <w:link w:val="65"/>
    <w:qFormat/>
    <w:locked/>
    <w:uiPriority w:val="0"/>
    <w:rPr>
      <w:rFonts w:eastAsia="宋体"/>
      <w:kern w:val="2"/>
      <w:sz w:val="21"/>
      <w:lang w:val="en-US" w:eastAsia="zh-CN" w:bidi="ar-SA"/>
    </w:rPr>
  </w:style>
  <w:style w:type="paragraph" w:customStyle="1" w:styleId="65">
    <w:name w:val="NormalIndent"/>
    <w:basedOn w:val="1"/>
    <w:link w:val="64"/>
    <w:qFormat/>
    <w:uiPriority w:val="0"/>
    <w:pPr>
      <w:ind w:firstLine="420"/>
    </w:pPr>
    <w:rPr>
      <w:szCs w:val="20"/>
    </w:rPr>
  </w:style>
  <w:style w:type="character" w:customStyle="1" w:styleId="66">
    <w:name w:val="UserStyle_20"/>
    <w:qFormat/>
    <w:uiPriority w:val="0"/>
    <w:rPr>
      <w:rFonts w:ascii="宋体" w:hAnsi="Courier New" w:eastAsia="宋体"/>
      <w:kern w:val="2"/>
      <w:sz w:val="21"/>
      <w:lang w:val="en-US" w:eastAsia="zh-CN" w:bidi="ar-SA"/>
    </w:rPr>
  </w:style>
  <w:style w:type="character" w:customStyle="1" w:styleId="67">
    <w:name w:val="UserStyle_21"/>
    <w:qFormat/>
    <w:uiPriority w:val="0"/>
    <w:rPr>
      <w:rFonts w:ascii="Arial Black" w:hAnsi="Arial Black" w:eastAsia="宋体"/>
      <w:b/>
      <w:spacing w:val="20"/>
      <w:sz w:val="44"/>
      <w:lang w:val="en-US" w:eastAsia="zh-CN" w:bidi="ar-SA"/>
    </w:rPr>
  </w:style>
  <w:style w:type="paragraph" w:customStyle="1" w:styleId="68">
    <w:name w:val="BodyTextIndent"/>
    <w:basedOn w:val="1"/>
    <w:qFormat/>
    <w:uiPriority w:val="0"/>
    <w:pPr>
      <w:ind w:left="560" w:firstLine="420"/>
    </w:pPr>
    <w:rPr>
      <w:sz w:val="28"/>
      <w:szCs w:val="20"/>
    </w:rPr>
  </w:style>
  <w:style w:type="paragraph" w:customStyle="1" w:styleId="69">
    <w:name w:val="BodyText3"/>
    <w:basedOn w:val="1"/>
    <w:qFormat/>
    <w:uiPriority w:val="0"/>
    <w:pPr>
      <w:spacing w:line="240" w:lineRule="exact"/>
    </w:pPr>
    <w:rPr>
      <w:rFonts w:ascii="宋体" w:hAnsi="宋体"/>
      <w:color w:val="000000"/>
      <w:szCs w:val="21"/>
    </w:rPr>
  </w:style>
  <w:style w:type="paragraph" w:customStyle="1" w:styleId="70">
    <w:name w:val="Acetate"/>
    <w:basedOn w:val="1"/>
    <w:semiHidden/>
    <w:qFormat/>
    <w:uiPriority w:val="0"/>
    <w:rPr>
      <w:sz w:val="18"/>
      <w:szCs w:val="18"/>
    </w:rPr>
  </w:style>
  <w:style w:type="paragraph" w:customStyle="1" w:styleId="71">
    <w:name w:val="TOC3"/>
    <w:basedOn w:val="1"/>
    <w:next w:val="1"/>
    <w:semiHidden/>
    <w:qFormat/>
    <w:uiPriority w:val="0"/>
    <w:pPr>
      <w:ind w:left="420"/>
      <w:jc w:val="left"/>
    </w:pPr>
    <w:rPr>
      <w:i/>
      <w:iCs/>
    </w:rPr>
  </w:style>
  <w:style w:type="paragraph" w:customStyle="1" w:styleId="72">
    <w:name w:val="HtmlNormal"/>
    <w:basedOn w:val="1"/>
    <w:qFormat/>
    <w:uiPriority w:val="0"/>
    <w:pPr>
      <w:spacing w:before="100" w:beforeAutospacing="1" w:after="100" w:afterAutospacing="1"/>
      <w:jc w:val="left"/>
    </w:pPr>
    <w:rPr>
      <w:rFonts w:ascii="宋体" w:hAnsi="宋体"/>
      <w:kern w:val="0"/>
      <w:sz w:val="24"/>
    </w:rPr>
  </w:style>
  <w:style w:type="paragraph" w:customStyle="1" w:styleId="73">
    <w:name w:val="HtmlPre"/>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customStyle="1" w:styleId="74">
    <w:name w:val="UserStyle_22"/>
    <w:basedOn w:val="32"/>
    <w:qFormat/>
    <w:uiPriority w:val="0"/>
    <w:pPr>
      <w:numPr>
        <w:ilvl w:val="2"/>
        <w:numId w:val="1"/>
      </w:numPr>
      <w:tabs>
        <w:tab w:val="left" w:pos="360"/>
        <w:tab w:val="left" w:pos="425"/>
      </w:tabs>
      <w:spacing w:before="120" w:after="120" w:line="240" w:lineRule="auto"/>
      <w:ind w:left="0" w:firstLine="0"/>
      <w:jc w:val="left"/>
    </w:pPr>
    <w:rPr>
      <w:b w:val="0"/>
      <w:sz w:val="24"/>
    </w:rPr>
  </w:style>
  <w:style w:type="paragraph" w:customStyle="1" w:styleId="75">
    <w:name w:val="UserStyle_23"/>
    <w:basedOn w:val="1"/>
    <w:qFormat/>
    <w:uiPriority w:val="0"/>
    <w:pPr>
      <w:spacing w:line="360" w:lineRule="auto"/>
      <w:jc w:val="center"/>
    </w:pPr>
    <w:rPr>
      <w:rFonts w:eastAsia="黑体"/>
      <w:sz w:val="24"/>
      <w:szCs w:val="22"/>
    </w:rPr>
  </w:style>
  <w:style w:type="paragraph" w:customStyle="1" w:styleId="76">
    <w:name w:val="UserStyle_24"/>
    <w:basedOn w:val="1"/>
    <w:next w:val="1"/>
    <w:qFormat/>
    <w:uiPriority w:val="0"/>
    <w:pPr>
      <w:jc w:val="left"/>
    </w:pPr>
    <w:rPr>
      <w:rFonts w:ascii="宋体" w:hAnsi="宋体"/>
      <w:color w:val="000000"/>
      <w:kern w:val="0"/>
      <w:szCs w:val="20"/>
    </w:rPr>
  </w:style>
  <w:style w:type="paragraph" w:customStyle="1" w:styleId="77">
    <w:name w:val="UserStyle_25"/>
    <w:basedOn w:val="1"/>
    <w:qFormat/>
    <w:uiPriority w:val="0"/>
    <w:pPr>
      <w:ind w:firstLine="420" w:firstLineChars="200"/>
    </w:pPr>
    <w:rPr>
      <w:rFonts w:ascii="Calibri" w:hAnsi="Calibri"/>
      <w:szCs w:val="22"/>
    </w:rPr>
  </w:style>
  <w:style w:type="paragraph" w:customStyle="1" w:styleId="78">
    <w:name w:val="UserStyle_26"/>
    <w:basedOn w:val="1"/>
    <w:qFormat/>
    <w:uiPriority w:val="0"/>
    <w:rPr>
      <w:rFonts w:ascii="Tahoma" w:hAnsi="Tahoma"/>
      <w:sz w:val="24"/>
      <w:szCs w:val="20"/>
    </w:rPr>
  </w:style>
  <w:style w:type="paragraph" w:customStyle="1" w:styleId="79">
    <w:name w:val="UserStyle_27"/>
    <w:basedOn w:val="1"/>
    <w:qFormat/>
    <w:uiPriority w:val="0"/>
    <w:pPr>
      <w:spacing w:line="360" w:lineRule="auto"/>
      <w:ind w:firstLine="420" w:firstLineChars="200"/>
    </w:pPr>
  </w:style>
  <w:style w:type="paragraph" w:customStyle="1" w:styleId="80">
    <w:name w:val="UserStyle_28"/>
    <w:basedOn w:val="1"/>
    <w:next w:val="39"/>
    <w:qFormat/>
    <w:uiPriority w:val="0"/>
    <w:rPr>
      <w:rFonts w:ascii="宋体" w:hAnsi="Courier New"/>
      <w:szCs w:val="20"/>
    </w:rPr>
  </w:style>
  <w:style w:type="paragraph" w:customStyle="1" w:styleId="81">
    <w:name w:val="UserStyle_29"/>
    <w:qFormat/>
    <w:uiPriority w:val="0"/>
    <w:pPr>
      <w:ind w:firstLine="200" w:firstLineChars="200"/>
      <w:jc w:val="both"/>
      <w:textAlignment w:val="baseline"/>
    </w:pPr>
    <w:rPr>
      <w:rFonts w:ascii="宋体" w:hAnsi="Times New Roman" w:eastAsia="宋体" w:cs="Times New Roman"/>
      <w:sz w:val="21"/>
      <w:lang w:val="en-US" w:eastAsia="zh-CN" w:bidi="ar-SA"/>
    </w:rPr>
  </w:style>
  <w:style w:type="paragraph" w:customStyle="1" w:styleId="82">
    <w:name w:val="UserStyle_30"/>
    <w:basedOn w:val="1"/>
    <w:qFormat/>
    <w:uiPriority w:val="0"/>
    <w:rPr>
      <w:rFonts w:ascii="Tahoma" w:hAnsi="Tahoma"/>
      <w:sz w:val="24"/>
      <w:szCs w:val="20"/>
    </w:rPr>
  </w:style>
  <w:style w:type="table" w:customStyle="1" w:styleId="83">
    <w:name w:val="TableGrid"/>
    <w:basedOn w:val="37"/>
    <w:qFormat/>
    <w:uiPriority w:val="0"/>
  </w:style>
  <w:style w:type="paragraph" w:customStyle="1" w:styleId="84">
    <w:name w:val="Char1 Char Char Char Char Char Char"/>
    <w:basedOn w:val="1"/>
    <w:qFormat/>
    <w:uiPriority w:val="0"/>
    <w:pPr>
      <w:widowControl w:val="0"/>
      <w:textAlignment w:val="auto"/>
    </w:pPr>
    <w:rPr>
      <w:rFonts w:ascii="Tahoma" w:hAnsi="Tahoma"/>
      <w:sz w:val="24"/>
      <w:szCs w:val="20"/>
    </w:rPr>
  </w:style>
  <w:style w:type="paragraph" w:customStyle="1" w:styleId="85">
    <w:name w:val="Char1 Char Char Char Char Char Char1"/>
    <w:basedOn w:val="1"/>
    <w:qFormat/>
    <w:uiPriority w:val="0"/>
    <w:pPr>
      <w:widowControl w:val="0"/>
      <w:textAlignment w:val="auto"/>
    </w:pPr>
    <w:rPr>
      <w:rFonts w:ascii="Tahoma" w:hAnsi="Tahoma"/>
      <w:sz w:val="24"/>
      <w:szCs w:val="20"/>
    </w:rPr>
  </w:style>
  <w:style w:type="character" w:customStyle="1" w:styleId="86">
    <w:name w:val="批注框文本 字符"/>
    <w:basedOn w:val="20"/>
    <w:link w:val="13"/>
    <w:qFormat/>
    <w:uiPriority w:val="0"/>
    <w:rPr>
      <w:kern w:val="2"/>
      <w:sz w:val="18"/>
      <w:szCs w:val="18"/>
    </w:rPr>
  </w:style>
  <w:style w:type="character" w:customStyle="1" w:styleId="87">
    <w:name w:val="normalcharacter"/>
    <w:basedOn w:val="20"/>
    <w:qFormat/>
    <w:uiPriority w:val="0"/>
  </w:style>
  <w:style w:type="character" w:customStyle="1" w:styleId="88">
    <w:name w:val="纯文本 字符"/>
    <w:link w:val="10"/>
    <w:qFormat/>
    <w:uiPriority w:val="0"/>
    <w:rPr>
      <w:rFonts w:ascii="宋体" w:hAnsi="Courier New"/>
      <w:kern w:val="2"/>
      <w:sz w:val="21"/>
      <w:szCs w:val="21"/>
    </w:rPr>
  </w:style>
  <w:style w:type="paragraph" w:styleId="89">
    <w:name w:val="List Paragraph"/>
    <w:basedOn w:val="1"/>
    <w:qFormat/>
    <w:uiPriority w:val="99"/>
    <w:pPr>
      <w:ind w:firstLine="420" w:firstLineChars="200"/>
    </w:pPr>
  </w:style>
  <w:style w:type="paragraph" w:customStyle="1" w:styleId="90">
    <w:name w:val="纯文本1"/>
    <w:basedOn w:val="1"/>
    <w:qFormat/>
    <w:uiPriority w:val="0"/>
    <w:pPr>
      <w:widowControl w:val="0"/>
      <w:textAlignment w:val="auto"/>
    </w:pPr>
    <w:rPr>
      <w:rFonts w:ascii="宋体" w:hAnsi="Courier New"/>
      <w:szCs w:val="20"/>
    </w:rPr>
  </w:style>
  <w:style w:type="character" w:customStyle="1" w:styleId="91">
    <w:name w:val="日期 字符"/>
    <w:basedOn w:val="20"/>
    <w:link w:val="11"/>
    <w:qFormat/>
    <w:uiPriority w:val="0"/>
    <w:rPr>
      <w:kern w:val="2"/>
      <w:sz w:val="21"/>
      <w:szCs w:val="24"/>
    </w:rPr>
  </w:style>
  <w:style w:type="character" w:customStyle="1" w:styleId="92">
    <w:name w:val="width-indigo"/>
    <w:basedOn w:val="20"/>
    <w:qFormat/>
    <w:uiPriority w:val="0"/>
  </w:style>
  <w:style w:type="character" w:customStyle="1" w:styleId="93">
    <w:name w:val="width-purple"/>
    <w:basedOn w:val="20"/>
    <w:qFormat/>
    <w:uiPriority w:val="0"/>
  </w:style>
  <w:style w:type="character" w:customStyle="1" w:styleId="94">
    <w:name w:val="newpure-lightgreen"/>
    <w:basedOn w:val="20"/>
    <w:qFormat/>
    <w:uiPriority w:val="0"/>
  </w:style>
  <w:style w:type="character" w:customStyle="1" w:styleId="95">
    <w:name w:val="width-orange"/>
    <w:basedOn w:val="20"/>
    <w:qFormat/>
    <w:uiPriority w:val="0"/>
  </w:style>
  <w:style w:type="character" w:customStyle="1" w:styleId="96">
    <w:name w:val="default-darkred"/>
    <w:basedOn w:val="20"/>
    <w:qFormat/>
    <w:uiPriority w:val="0"/>
  </w:style>
  <w:style w:type="character" w:customStyle="1" w:styleId="97">
    <w:name w:val="newpure-red"/>
    <w:basedOn w:val="20"/>
    <w:qFormat/>
    <w:uiPriority w:val="0"/>
  </w:style>
  <w:style w:type="character" w:customStyle="1" w:styleId="98">
    <w:name w:val="before"/>
    <w:basedOn w:val="20"/>
    <w:qFormat/>
    <w:uiPriority w:val="0"/>
    <w:rPr>
      <w:color w:val="4799E7"/>
    </w:rPr>
  </w:style>
  <w:style w:type="character" w:customStyle="1" w:styleId="99">
    <w:name w:val="before1"/>
    <w:basedOn w:val="20"/>
    <w:qFormat/>
    <w:uiPriority w:val="0"/>
    <w:rPr>
      <w:color w:val="55AAA3"/>
    </w:rPr>
  </w:style>
  <w:style w:type="character" w:customStyle="1" w:styleId="100">
    <w:name w:val="before2"/>
    <w:basedOn w:val="20"/>
    <w:qFormat/>
    <w:uiPriority w:val="0"/>
    <w:rPr>
      <w:sz w:val="18"/>
      <w:szCs w:val="18"/>
    </w:rPr>
  </w:style>
  <w:style w:type="character" w:customStyle="1" w:styleId="101">
    <w:name w:val="before3"/>
    <w:basedOn w:val="20"/>
    <w:qFormat/>
    <w:uiPriority w:val="0"/>
    <w:rPr>
      <w:sz w:val="21"/>
      <w:szCs w:val="21"/>
    </w:rPr>
  </w:style>
  <w:style w:type="character" w:customStyle="1" w:styleId="102">
    <w:name w:val="before4"/>
    <w:basedOn w:val="20"/>
    <w:qFormat/>
    <w:uiPriority w:val="0"/>
    <w:rPr>
      <w:color w:val="ED6D00"/>
    </w:rPr>
  </w:style>
  <w:style w:type="character" w:customStyle="1" w:styleId="103">
    <w:name w:val="before5"/>
    <w:basedOn w:val="20"/>
    <w:qFormat/>
    <w:uiPriority w:val="0"/>
    <w:rPr>
      <w:color w:val="BA2E2E"/>
    </w:rPr>
  </w:style>
  <w:style w:type="character" w:customStyle="1" w:styleId="104">
    <w:name w:val="before6"/>
    <w:basedOn w:val="20"/>
    <w:qFormat/>
    <w:uiPriority w:val="0"/>
    <w:rPr>
      <w:color w:val="393D49"/>
    </w:rPr>
  </w:style>
  <w:style w:type="character" w:customStyle="1" w:styleId="105">
    <w:name w:val="before7"/>
    <w:basedOn w:val="20"/>
    <w:qFormat/>
    <w:uiPriority w:val="0"/>
    <w:rPr>
      <w:rFonts w:hint="default" w:ascii="Fawanhu" w:hAnsi="Fawanhu" w:eastAsia="Fawanhu" w:cs="Fawanhu"/>
      <w:sz w:val="24"/>
      <w:szCs w:val="24"/>
    </w:rPr>
  </w:style>
  <w:style w:type="character" w:customStyle="1" w:styleId="106">
    <w:name w:val="before8"/>
    <w:basedOn w:val="20"/>
    <w:qFormat/>
    <w:uiPriority w:val="0"/>
  </w:style>
  <w:style w:type="character" w:customStyle="1" w:styleId="107">
    <w:name w:val="before9"/>
    <w:basedOn w:val="20"/>
    <w:qFormat/>
    <w:uiPriority w:val="0"/>
    <w:rPr>
      <w:sz w:val="24"/>
      <w:szCs w:val="24"/>
    </w:rPr>
  </w:style>
  <w:style w:type="character" w:customStyle="1" w:styleId="108">
    <w:name w:val="newpure-gray"/>
    <w:basedOn w:val="20"/>
    <w:qFormat/>
    <w:uiPriority w:val="0"/>
  </w:style>
  <w:style w:type="character" w:customStyle="1" w:styleId="109">
    <w:name w:val="current"/>
    <w:basedOn w:val="20"/>
    <w:qFormat/>
    <w:uiPriority w:val="0"/>
    <w:rPr>
      <w:color w:val="FFFFFF"/>
      <w:shd w:val="clear" w:fill="4799E7"/>
    </w:rPr>
  </w:style>
  <w:style w:type="character" w:customStyle="1" w:styleId="110">
    <w:name w:val="current1"/>
    <w:basedOn w:val="20"/>
    <w:qFormat/>
    <w:uiPriority w:val="0"/>
    <w:rPr>
      <w:color w:val="FFFFFF"/>
      <w:shd w:val="clear" w:fill="55AAA3"/>
    </w:rPr>
  </w:style>
  <w:style w:type="character" w:customStyle="1" w:styleId="111">
    <w:name w:val="current2"/>
    <w:basedOn w:val="20"/>
    <w:qFormat/>
    <w:uiPriority w:val="0"/>
    <w:rPr>
      <w:color w:val="FFFFFF"/>
      <w:shd w:val="clear" w:fill="ED6D00"/>
    </w:rPr>
  </w:style>
  <w:style w:type="character" w:customStyle="1" w:styleId="112">
    <w:name w:val="current3"/>
    <w:basedOn w:val="20"/>
    <w:qFormat/>
    <w:uiPriority w:val="0"/>
    <w:rPr>
      <w:color w:val="FFFFFF"/>
      <w:shd w:val="clear" w:fill="BA2E2E"/>
    </w:rPr>
  </w:style>
  <w:style w:type="character" w:customStyle="1" w:styleId="113">
    <w:name w:val="current4"/>
    <w:basedOn w:val="20"/>
    <w:qFormat/>
    <w:uiPriority w:val="0"/>
    <w:rPr>
      <w:color w:val="FFFFFF"/>
      <w:shd w:val="clear" w:fill="393D49"/>
    </w:rPr>
  </w:style>
  <w:style w:type="character" w:customStyle="1" w:styleId="114">
    <w:name w:val="default-black"/>
    <w:basedOn w:val="20"/>
    <w:qFormat/>
    <w:uiPriority w:val="0"/>
  </w:style>
  <w:style w:type="character" w:customStyle="1" w:styleId="115">
    <w:name w:val="line-gray"/>
    <w:basedOn w:val="20"/>
    <w:qFormat/>
    <w:uiPriority w:val="0"/>
  </w:style>
  <w:style w:type="character" w:customStyle="1" w:styleId="116">
    <w:name w:val="width-blue"/>
    <w:basedOn w:val="20"/>
    <w:qFormat/>
    <w:uiPriority w:val="0"/>
  </w:style>
  <w:style w:type="character" w:customStyle="1" w:styleId="117">
    <w:name w:val="width-black"/>
    <w:basedOn w:val="20"/>
    <w:qFormat/>
    <w:uiPriority w:val="0"/>
  </w:style>
  <w:style w:type="character" w:customStyle="1" w:styleId="118">
    <w:name w:val="width-maroon"/>
    <w:basedOn w:val="20"/>
    <w:qFormat/>
    <w:uiPriority w:val="0"/>
  </w:style>
  <w:style w:type="character" w:customStyle="1" w:styleId="119">
    <w:name w:val="default-maroon"/>
    <w:basedOn w:val="20"/>
    <w:qFormat/>
    <w:uiPriority w:val="0"/>
  </w:style>
  <w:style w:type="character" w:customStyle="1" w:styleId="120">
    <w:name w:val="default-brown"/>
    <w:basedOn w:val="20"/>
    <w:qFormat/>
    <w:uiPriority w:val="0"/>
  </w:style>
  <w:style w:type="character" w:customStyle="1" w:styleId="121">
    <w:name w:val="layui-layer-tabnow"/>
    <w:basedOn w:val="20"/>
    <w:qFormat/>
    <w:uiPriority w:val="0"/>
    <w:rPr>
      <w:bdr w:val="single" w:color="CCCCCC" w:sz="6" w:space="0"/>
      <w:shd w:val="clear" w:fill="FFFFFF"/>
    </w:rPr>
  </w:style>
  <w:style w:type="character" w:customStyle="1" w:styleId="122">
    <w:name w:val="line-cyan"/>
    <w:basedOn w:val="20"/>
    <w:qFormat/>
    <w:uiPriority w:val="0"/>
  </w:style>
  <w:style w:type="character" w:customStyle="1" w:styleId="123">
    <w:name w:val="width-skyblue"/>
    <w:basedOn w:val="20"/>
    <w:qFormat/>
    <w:uiPriority w:val="0"/>
  </w:style>
  <w:style w:type="character" w:customStyle="1" w:styleId="124">
    <w:name w:val="newpure-skyblue"/>
    <w:basedOn w:val="20"/>
    <w:qFormat/>
    <w:uiPriority w:val="0"/>
  </w:style>
  <w:style w:type="character" w:customStyle="1" w:styleId="125">
    <w:name w:val="line-purple"/>
    <w:basedOn w:val="20"/>
    <w:qFormat/>
    <w:uiPriority w:val="0"/>
  </w:style>
  <w:style w:type="character" w:customStyle="1" w:styleId="126">
    <w:name w:val="width-lightgreen"/>
    <w:basedOn w:val="20"/>
    <w:qFormat/>
    <w:uiPriority w:val="0"/>
  </w:style>
  <w:style w:type="character" w:customStyle="1" w:styleId="127">
    <w:name w:val="line-black"/>
    <w:basedOn w:val="20"/>
    <w:qFormat/>
    <w:uiPriority w:val="0"/>
  </w:style>
  <w:style w:type="character" w:customStyle="1" w:styleId="128">
    <w:name w:val="line-green"/>
    <w:basedOn w:val="20"/>
    <w:qFormat/>
    <w:uiPriority w:val="0"/>
  </w:style>
  <w:style w:type="character" w:customStyle="1" w:styleId="129">
    <w:name w:val="line-darkred"/>
    <w:basedOn w:val="20"/>
    <w:qFormat/>
    <w:uiPriority w:val="0"/>
  </w:style>
  <w:style w:type="character" w:customStyle="1" w:styleId="130">
    <w:name w:val="newpure-maroon"/>
    <w:basedOn w:val="20"/>
    <w:qFormat/>
    <w:uiPriority w:val="0"/>
  </w:style>
  <w:style w:type="character" w:customStyle="1" w:styleId="131">
    <w:name w:val="newpure-darkblue"/>
    <w:basedOn w:val="20"/>
    <w:qFormat/>
    <w:uiPriority w:val="0"/>
  </w:style>
  <w:style w:type="character" w:customStyle="1" w:styleId="132">
    <w:name w:val="width-pink"/>
    <w:basedOn w:val="20"/>
    <w:qFormat/>
    <w:uiPriority w:val="0"/>
  </w:style>
  <w:style w:type="character" w:customStyle="1" w:styleId="133">
    <w:name w:val="tag-num-red"/>
    <w:basedOn w:val="20"/>
    <w:qFormat/>
    <w:uiPriority w:val="0"/>
    <w:rPr>
      <w:color w:val="FFFFFF"/>
      <w:sz w:val="18"/>
      <w:szCs w:val="18"/>
      <w:shd w:val="clear" w:fill="FF0000"/>
    </w:rPr>
  </w:style>
  <w:style w:type="character" w:customStyle="1" w:styleId="134">
    <w:name w:val="button"/>
    <w:basedOn w:val="20"/>
    <w:qFormat/>
    <w:uiPriority w:val="0"/>
  </w:style>
  <w:style w:type="character" w:customStyle="1" w:styleId="135">
    <w:name w:val="first-child"/>
    <w:basedOn w:val="20"/>
    <w:qFormat/>
    <w:uiPriority w:val="0"/>
  </w:style>
  <w:style w:type="character" w:customStyle="1" w:styleId="136">
    <w:name w:val="width-violet"/>
    <w:basedOn w:val="20"/>
    <w:qFormat/>
    <w:uiPriority w:val="0"/>
  </w:style>
  <w:style w:type="character" w:customStyle="1" w:styleId="137">
    <w:name w:val="newpure-purple"/>
    <w:basedOn w:val="20"/>
    <w:qFormat/>
    <w:uiPriority w:val="0"/>
  </w:style>
  <w:style w:type="character" w:customStyle="1" w:styleId="138">
    <w:name w:val="hover20"/>
    <w:basedOn w:val="20"/>
    <w:qFormat/>
    <w:uiPriority w:val="0"/>
    <w:rPr>
      <w:sz w:val="21"/>
      <w:szCs w:val="21"/>
    </w:rPr>
  </w:style>
  <w:style w:type="character" w:customStyle="1" w:styleId="139">
    <w:name w:val="hover21"/>
    <w:basedOn w:val="20"/>
    <w:qFormat/>
    <w:uiPriority w:val="0"/>
    <w:rPr>
      <w:shd w:val="clear" w:fill="F3F3F3"/>
    </w:rPr>
  </w:style>
  <w:style w:type="character" w:customStyle="1" w:styleId="140">
    <w:name w:val="hover22"/>
    <w:basedOn w:val="20"/>
    <w:qFormat/>
    <w:uiPriority w:val="0"/>
    <w:rPr>
      <w:shd w:val="clear" w:fill="F3F3F3"/>
    </w:rPr>
  </w:style>
  <w:style w:type="character" w:customStyle="1" w:styleId="141">
    <w:name w:val="line-brown"/>
    <w:basedOn w:val="20"/>
    <w:qFormat/>
    <w:uiPriority w:val="0"/>
  </w:style>
  <w:style w:type="character" w:customStyle="1" w:styleId="142">
    <w:name w:val="default-indigo"/>
    <w:basedOn w:val="20"/>
    <w:qFormat/>
    <w:uiPriority w:val="0"/>
  </w:style>
  <w:style w:type="character" w:customStyle="1" w:styleId="143">
    <w:name w:val="newpure-brown"/>
    <w:basedOn w:val="20"/>
    <w:qFormat/>
    <w:uiPriority w:val="0"/>
  </w:style>
  <w:style w:type="character" w:customStyle="1" w:styleId="144">
    <w:name w:val="newpure-seablue"/>
    <w:basedOn w:val="20"/>
    <w:qFormat/>
    <w:uiPriority w:val="0"/>
  </w:style>
  <w:style w:type="character" w:customStyle="1" w:styleId="145">
    <w:name w:val="default-cyan"/>
    <w:basedOn w:val="20"/>
    <w:qFormat/>
    <w:uiPriority w:val="0"/>
  </w:style>
  <w:style w:type="character" w:customStyle="1" w:styleId="146">
    <w:name w:val="default-pink"/>
    <w:basedOn w:val="20"/>
    <w:qFormat/>
    <w:uiPriority w:val="0"/>
  </w:style>
  <w:style w:type="character" w:customStyle="1" w:styleId="147">
    <w:name w:val="default-orange"/>
    <w:basedOn w:val="20"/>
    <w:qFormat/>
    <w:uiPriority w:val="0"/>
  </w:style>
  <w:style w:type="character" w:customStyle="1" w:styleId="148">
    <w:name w:val="line-maroon"/>
    <w:basedOn w:val="20"/>
    <w:qFormat/>
    <w:uiPriority w:val="0"/>
  </w:style>
  <w:style w:type="character" w:customStyle="1" w:styleId="149">
    <w:name w:val="newpure-darkred"/>
    <w:basedOn w:val="20"/>
    <w:qFormat/>
    <w:uiPriority w:val="0"/>
  </w:style>
  <w:style w:type="character" w:customStyle="1" w:styleId="150">
    <w:name w:val="default-red"/>
    <w:basedOn w:val="20"/>
    <w:qFormat/>
    <w:uiPriority w:val="0"/>
  </w:style>
  <w:style w:type="character" w:customStyle="1" w:styleId="151">
    <w:name w:val="newpure-cyan"/>
    <w:basedOn w:val="20"/>
    <w:qFormat/>
    <w:uiPriority w:val="0"/>
  </w:style>
  <w:style w:type="character" w:customStyle="1" w:styleId="152">
    <w:name w:val="width-brown"/>
    <w:basedOn w:val="20"/>
    <w:qFormat/>
    <w:uiPriority w:val="0"/>
  </w:style>
  <w:style w:type="character" w:customStyle="1" w:styleId="153">
    <w:name w:val="newpure-orange"/>
    <w:basedOn w:val="20"/>
    <w:qFormat/>
    <w:uiPriority w:val="0"/>
  </w:style>
  <w:style w:type="character" w:customStyle="1" w:styleId="154">
    <w:name w:val="default-lightgreen"/>
    <w:basedOn w:val="20"/>
    <w:qFormat/>
    <w:uiPriority w:val="0"/>
  </w:style>
  <w:style w:type="character" w:customStyle="1" w:styleId="155">
    <w:name w:val="default-violet"/>
    <w:basedOn w:val="20"/>
    <w:qFormat/>
    <w:uiPriority w:val="0"/>
  </w:style>
  <w:style w:type="character" w:customStyle="1" w:styleId="156">
    <w:name w:val="line-indigo"/>
    <w:basedOn w:val="20"/>
    <w:qFormat/>
    <w:uiPriority w:val="0"/>
  </w:style>
  <w:style w:type="character" w:customStyle="1" w:styleId="157">
    <w:name w:val="line-darkblue"/>
    <w:basedOn w:val="20"/>
    <w:qFormat/>
    <w:uiPriority w:val="0"/>
  </w:style>
  <w:style w:type="character" w:customStyle="1" w:styleId="158">
    <w:name w:val="default-green"/>
    <w:basedOn w:val="20"/>
    <w:qFormat/>
    <w:uiPriority w:val="0"/>
  </w:style>
  <w:style w:type="character" w:customStyle="1" w:styleId="159">
    <w:name w:val="line-pink"/>
    <w:basedOn w:val="20"/>
    <w:qFormat/>
    <w:uiPriority w:val="0"/>
  </w:style>
  <w:style w:type="character" w:customStyle="1" w:styleId="160">
    <w:name w:val="line-orange"/>
    <w:basedOn w:val="20"/>
    <w:qFormat/>
    <w:uiPriority w:val="0"/>
  </w:style>
  <w:style w:type="character" w:customStyle="1" w:styleId="161">
    <w:name w:val="default-seablue"/>
    <w:basedOn w:val="20"/>
    <w:qFormat/>
    <w:uiPriority w:val="0"/>
  </w:style>
  <w:style w:type="character" w:customStyle="1" w:styleId="162">
    <w:name w:val="default-skyblue"/>
    <w:basedOn w:val="20"/>
    <w:qFormat/>
    <w:uiPriority w:val="0"/>
  </w:style>
  <w:style w:type="character" w:customStyle="1" w:styleId="163">
    <w:name w:val="default-blue"/>
    <w:basedOn w:val="20"/>
    <w:qFormat/>
    <w:uiPriority w:val="0"/>
  </w:style>
  <w:style w:type="character" w:customStyle="1" w:styleId="164">
    <w:name w:val="default-purple"/>
    <w:basedOn w:val="20"/>
    <w:qFormat/>
    <w:uiPriority w:val="0"/>
  </w:style>
  <w:style w:type="character" w:customStyle="1" w:styleId="165">
    <w:name w:val="default-darkblue"/>
    <w:basedOn w:val="20"/>
    <w:qFormat/>
    <w:uiPriority w:val="0"/>
  </w:style>
  <w:style w:type="character" w:customStyle="1" w:styleId="166">
    <w:name w:val="default-gray"/>
    <w:basedOn w:val="20"/>
    <w:qFormat/>
    <w:uiPriority w:val="0"/>
  </w:style>
  <w:style w:type="character" w:customStyle="1" w:styleId="167">
    <w:name w:val="newpure-pink"/>
    <w:basedOn w:val="20"/>
    <w:qFormat/>
    <w:uiPriority w:val="0"/>
  </w:style>
  <w:style w:type="character" w:customStyle="1" w:styleId="168">
    <w:name w:val="line-red"/>
    <w:basedOn w:val="20"/>
    <w:qFormat/>
    <w:uiPriority w:val="0"/>
  </w:style>
  <w:style w:type="character" w:customStyle="1" w:styleId="169">
    <w:name w:val="line-lightgreen"/>
    <w:basedOn w:val="20"/>
    <w:qFormat/>
    <w:uiPriority w:val="0"/>
  </w:style>
  <w:style w:type="character" w:customStyle="1" w:styleId="170">
    <w:name w:val="line-seablue"/>
    <w:basedOn w:val="20"/>
    <w:qFormat/>
    <w:uiPriority w:val="0"/>
  </w:style>
  <w:style w:type="character" w:customStyle="1" w:styleId="171">
    <w:name w:val="line-skyblue"/>
    <w:basedOn w:val="20"/>
    <w:qFormat/>
    <w:uiPriority w:val="0"/>
  </w:style>
  <w:style w:type="character" w:customStyle="1" w:styleId="172">
    <w:name w:val="line-blue"/>
    <w:basedOn w:val="20"/>
    <w:qFormat/>
    <w:uiPriority w:val="0"/>
  </w:style>
  <w:style w:type="character" w:customStyle="1" w:styleId="173">
    <w:name w:val="line-violet"/>
    <w:basedOn w:val="20"/>
    <w:qFormat/>
    <w:uiPriority w:val="0"/>
  </w:style>
  <w:style w:type="character" w:customStyle="1" w:styleId="174">
    <w:name w:val="newpure-green"/>
    <w:basedOn w:val="20"/>
    <w:qFormat/>
    <w:uiPriority w:val="0"/>
  </w:style>
  <w:style w:type="character" w:customStyle="1" w:styleId="175">
    <w:name w:val="width-green"/>
    <w:basedOn w:val="20"/>
    <w:qFormat/>
    <w:uiPriority w:val="0"/>
  </w:style>
  <w:style w:type="character" w:customStyle="1" w:styleId="176">
    <w:name w:val="newpure-blue"/>
    <w:basedOn w:val="20"/>
    <w:qFormat/>
    <w:uiPriority w:val="0"/>
  </w:style>
  <w:style w:type="character" w:customStyle="1" w:styleId="177">
    <w:name w:val="newpure-violet"/>
    <w:basedOn w:val="20"/>
    <w:qFormat/>
    <w:uiPriority w:val="0"/>
  </w:style>
  <w:style w:type="character" w:customStyle="1" w:styleId="178">
    <w:name w:val="newpure-indigo"/>
    <w:basedOn w:val="20"/>
    <w:qFormat/>
    <w:uiPriority w:val="0"/>
  </w:style>
  <w:style w:type="character" w:customStyle="1" w:styleId="179">
    <w:name w:val="newpure-black"/>
    <w:basedOn w:val="20"/>
    <w:qFormat/>
    <w:uiPriority w:val="0"/>
  </w:style>
  <w:style w:type="character" w:customStyle="1" w:styleId="180">
    <w:name w:val="width-red"/>
    <w:basedOn w:val="20"/>
    <w:qFormat/>
    <w:uiPriority w:val="0"/>
  </w:style>
  <w:style w:type="character" w:customStyle="1" w:styleId="181">
    <w:name w:val="width-darkred"/>
    <w:basedOn w:val="20"/>
    <w:qFormat/>
    <w:uiPriority w:val="0"/>
  </w:style>
  <w:style w:type="character" w:customStyle="1" w:styleId="182">
    <w:name w:val="width-cyan"/>
    <w:basedOn w:val="20"/>
    <w:qFormat/>
    <w:uiPriority w:val="0"/>
  </w:style>
  <w:style w:type="character" w:customStyle="1" w:styleId="183">
    <w:name w:val="width-seablue"/>
    <w:basedOn w:val="20"/>
    <w:qFormat/>
    <w:uiPriority w:val="0"/>
  </w:style>
  <w:style w:type="character" w:customStyle="1" w:styleId="184">
    <w:name w:val="width-darkblue"/>
    <w:basedOn w:val="20"/>
    <w:qFormat/>
    <w:uiPriority w:val="0"/>
  </w:style>
  <w:style w:type="character" w:customStyle="1" w:styleId="185">
    <w:name w:val="width-gray"/>
    <w:basedOn w:val="20"/>
    <w:qFormat/>
    <w:uiPriority w:val="0"/>
  </w:style>
  <w:style w:type="paragraph" w:customStyle="1" w:styleId="186">
    <w:name w:val="首行缩进"/>
    <w:basedOn w:val="1"/>
    <w:qFormat/>
    <w:uiPriority w:val="0"/>
    <w:pPr>
      <w:ind w:firstLine="480" w:firstLineChars="200"/>
    </w:pPr>
  </w:style>
  <w:style w:type="paragraph" w:customStyle="1" w:styleId="187">
    <w:name w:val="Table Paragraph"/>
    <w:basedOn w:val="1"/>
    <w:qFormat/>
    <w:uiPriority w:val="1"/>
    <w:rPr>
      <w:rFonts w:ascii="宋体" w:hAnsi="宋体" w:eastAsia="宋体" w:cs="宋体"/>
      <w:lang w:val="zh-CN" w:eastAsia="zh-CN" w:bidi="zh-CN"/>
    </w:rPr>
  </w:style>
  <w:style w:type="paragraph" w:customStyle="1" w:styleId="188">
    <w:name w:val="表格文字"/>
    <w:basedOn w:val="1"/>
    <w:qFormat/>
    <w:uiPriority w:val="0"/>
    <w:pPr>
      <w:spacing w:before="25" w:after="25"/>
      <w:jc w:val="left"/>
    </w:pPr>
    <w:rPr>
      <w:bCs/>
      <w:spacing w:val="10"/>
      <w:kern w:val="0"/>
      <w:sz w:val="24"/>
    </w:rPr>
  </w:style>
  <w:style w:type="paragraph" w:customStyle="1" w:styleId="189">
    <w:name w:val="Default"/>
    <w:qFormat/>
    <w:uiPriority w:val="0"/>
    <w:pPr>
      <w:widowControl w:val="0"/>
      <w:autoSpaceDE w:val="0"/>
      <w:autoSpaceDN w:val="0"/>
      <w:adjustRightInd w:val="0"/>
    </w:pPr>
    <w:rPr>
      <w:rFonts w:ascii="宋体" w:hAnsi="Times New Roman" w:eastAsia="Times New Roman" w:cs="Times New Roman"/>
      <w:color w:val="000000"/>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1806</Words>
  <Characters>1920</Characters>
  <Lines>81</Lines>
  <Paragraphs>64</Paragraphs>
  <TotalTime>12</TotalTime>
  <ScaleCrop>false</ScaleCrop>
  <LinksUpToDate>false</LinksUpToDate>
  <CharactersWithSpaces>1940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2024-05-17T09:04:00Z</dcterms:created>
  <dc:creator>Administrator</dc:creator>
  <cp:lastModifiedBy>辰森</cp:lastModifiedBy>
  <cp:lastPrinted>2025-09-08T08:57:00Z</cp:lastPrinted>
  <dcterms:modified xsi:type="dcterms:W3CDTF">2026-10-23T09:03:57Z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46FB0AB448C04E51B56917E0B4D78BFC_13</vt:lpwstr>
  </property>
  <property fmtid="{D5CDD505-2E9C-101B-9397-08002B2CF9AE}" pid="4" name="KSOTemplateDocerSaveRecord">
    <vt:lpwstr>eyJoZGlkIjoiMGZlZTk5ZmVhOTUzNjUyM2I2MmQzNjc1OWNiNjVlYTciLCJ1c2VySWQiOiI3NTUwMDQ2OTUifQ==</vt:lpwstr>
  </property>
</Properties>
</file>