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数量：1项                             控制价：15万元/年</w:t>
      </w:r>
    </w:p>
    <w:p>
      <w:pPr>
        <w:jc w:val="left"/>
        <w:rPr>
          <w:rFonts w:hint="eastAsia" w:ascii="仿宋" w:hAnsi="仿宋" w:eastAsia="仿宋" w:cs="仿宋"/>
          <w:b/>
          <w:bCs/>
          <w:color w:val="000000"/>
          <w:sz w:val="32"/>
          <w:szCs w:val="32"/>
          <w:lang w:val="en-US" w:eastAsia="zh-CN"/>
        </w:rPr>
      </w:pPr>
    </w:p>
    <w:p>
      <w:pPr>
        <w:widowControl/>
        <w:spacing w:line="360" w:lineRule="exact"/>
        <w:jc w:val="center"/>
        <w:textAlignment w:val="center"/>
        <w:rPr>
          <w:rFonts w:hint="eastAsia" w:ascii="方正小标宋简体" w:hAnsi="方正小标宋简体" w:eastAsia="方正小标宋简体" w:cs="方正小标宋简体"/>
          <w:b/>
          <w:color w:val="000000"/>
          <w:sz w:val="36"/>
          <w:szCs w:val="28"/>
          <w:lang w:val="en-US" w:eastAsia="zh-CN"/>
        </w:rPr>
      </w:pPr>
      <w:r>
        <w:rPr>
          <w:rFonts w:hint="eastAsia" w:ascii="方正小标宋简体" w:hAnsi="方正小标宋简体" w:eastAsia="方正小标宋简体" w:cs="方正小标宋简体"/>
          <w:b/>
          <w:color w:val="000000"/>
          <w:sz w:val="36"/>
          <w:szCs w:val="28"/>
          <w:lang w:val="en-US" w:eastAsia="zh-CN"/>
        </w:rPr>
        <w:t>采购需求表</w:t>
      </w:r>
    </w:p>
    <w:p>
      <w:pPr>
        <w:widowControl/>
        <w:spacing w:line="360" w:lineRule="exact"/>
        <w:jc w:val="left"/>
        <w:textAlignment w:val="center"/>
        <w:rPr>
          <w:rFonts w:hint="eastAsia" w:ascii="仿宋" w:hAnsi="仿宋" w:eastAsia="仿宋" w:cs="仿宋"/>
          <w:b w:val="0"/>
          <w:bCs/>
          <w:sz w:val="28"/>
          <w:szCs w:val="28"/>
        </w:rPr>
      </w:pPr>
      <w:r>
        <w:rPr>
          <w:rFonts w:hint="eastAsia" w:ascii="仿宋" w:hAnsi="仿宋" w:eastAsia="仿宋" w:cs="仿宋"/>
          <w:b w:val="0"/>
          <w:bCs/>
          <w:sz w:val="28"/>
          <w:szCs w:val="28"/>
        </w:rPr>
        <w:t>一、参保内窥镜</w:t>
      </w:r>
      <w:r>
        <w:rPr>
          <w:rFonts w:hint="eastAsia" w:ascii="仿宋" w:hAnsi="仿宋" w:eastAsia="仿宋" w:cs="仿宋"/>
          <w:b w:val="0"/>
          <w:bCs/>
          <w:sz w:val="28"/>
          <w:szCs w:val="28"/>
          <w:lang w:val="en-US" w:eastAsia="zh-CN"/>
        </w:rPr>
        <w:t>设备</w:t>
      </w:r>
      <w:r>
        <w:rPr>
          <w:rFonts w:hint="eastAsia" w:ascii="仿宋" w:hAnsi="仿宋" w:eastAsia="仿宋" w:cs="仿宋"/>
          <w:b w:val="0"/>
          <w:bCs/>
          <w:sz w:val="28"/>
          <w:szCs w:val="28"/>
        </w:rPr>
        <w:t>一批</w:t>
      </w:r>
    </w:p>
    <w:p>
      <w:pPr>
        <w:widowControl/>
        <w:spacing w:line="360" w:lineRule="exact"/>
        <w:jc w:val="left"/>
        <w:textAlignment w:val="center"/>
        <w:rPr>
          <w:rFonts w:hint="eastAsia" w:ascii="仿宋" w:hAnsi="仿宋" w:eastAsia="仿宋" w:cs="仿宋"/>
          <w:b w:val="0"/>
          <w:bCs/>
          <w:sz w:val="28"/>
          <w:szCs w:val="28"/>
        </w:rPr>
      </w:pPr>
      <w:r>
        <w:rPr>
          <w:rFonts w:hint="eastAsia" w:ascii="仿宋" w:hAnsi="仿宋" w:eastAsia="仿宋" w:cs="仿宋"/>
          <w:b w:val="0"/>
          <w:bCs/>
          <w:sz w:val="28"/>
          <w:szCs w:val="28"/>
        </w:rPr>
        <w:t>二、维保服务期限：自签订合同之日起</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年</w:t>
      </w:r>
    </w:p>
    <w:p>
      <w:pPr>
        <w:widowControl/>
        <w:spacing w:line="360" w:lineRule="exact"/>
        <w:jc w:val="left"/>
        <w:textAlignment w:val="center"/>
        <w:rPr>
          <w:rFonts w:hint="eastAsia" w:ascii="仿宋" w:hAnsi="仿宋" w:eastAsia="仿宋" w:cs="仿宋"/>
          <w:b w:val="0"/>
          <w:bCs/>
          <w:sz w:val="28"/>
          <w:szCs w:val="28"/>
        </w:rPr>
      </w:pPr>
      <w:r>
        <w:rPr>
          <w:rFonts w:hint="eastAsia" w:ascii="仿宋" w:hAnsi="仿宋" w:eastAsia="仿宋" w:cs="仿宋"/>
          <w:b w:val="0"/>
          <w:bCs/>
          <w:sz w:val="28"/>
          <w:szCs w:val="28"/>
        </w:rPr>
        <w:t>三、维修保养内容：全保型</w:t>
      </w:r>
    </w:p>
    <w:p>
      <w:pPr>
        <w:widowControl/>
        <w:spacing w:line="360" w:lineRule="exact"/>
        <w:jc w:val="left"/>
        <w:textAlignment w:val="center"/>
        <w:rPr>
          <w:rFonts w:hint="eastAsia" w:ascii="仿宋" w:hAnsi="仿宋" w:eastAsia="仿宋" w:cs="仿宋"/>
          <w:b w:val="0"/>
          <w:bCs/>
          <w:sz w:val="28"/>
          <w:szCs w:val="28"/>
        </w:rPr>
      </w:pPr>
      <w:r>
        <w:rPr>
          <w:rFonts w:hint="eastAsia" w:ascii="仿宋" w:hAnsi="仿宋" w:eastAsia="仿宋" w:cs="仿宋"/>
          <w:b w:val="0"/>
          <w:bCs/>
          <w:sz w:val="28"/>
          <w:szCs w:val="28"/>
        </w:rPr>
        <w:t>四、维修保养服务要求：</w:t>
      </w:r>
    </w:p>
    <w:p>
      <w:pPr>
        <w:widowControl/>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响应时间：每年维保服务须指定专门工程师负责采购人医院的内镜维修和清洗保养培训工作。如指定工程师有变更，应另行通知采购人相关部门备案变更情况。</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成交人应在收到采购人拨打报修电话后2小时内响应，维修时间：周一至周五，工程师保证在48小时内提供现场技术支持，并提供每周24小时*7天的电话支持服务。</w:t>
      </w:r>
      <w:r>
        <w:rPr>
          <w:rFonts w:hint="eastAsia" w:ascii="仿宋" w:hAnsi="仿宋" w:eastAsia="仿宋" w:cs="仿宋"/>
          <w:color w:val="auto"/>
          <w:sz w:val="28"/>
          <w:szCs w:val="28"/>
          <w:highlight w:val="none"/>
          <w:lang w:val="en-US" w:eastAsia="zh-CN"/>
        </w:rPr>
        <w:t>故障诊断：</w:t>
      </w:r>
      <w:r>
        <w:rPr>
          <w:rFonts w:hint="eastAsia" w:ascii="仿宋" w:hAnsi="仿宋" w:eastAsia="仿宋" w:cs="仿宋"/>
          <w:sz w:val="28"/>
          <w:szCs w:val="28"/>
          <w:lang w:val="en-US" w:eastAsia="zh-CN"/>
        </w:rPr>
        <w:t>竞标人</w:t>
      </w:r>
      <w:r>
        <w:rPr>
          <w:rFonts w:hint="eastAsia" w:ascii="仿宋" w:hAnsi="仿宋" w:eastAsia="仿宋" w:cs="仿宋"/>
          <w:color w:val="auto"/>
          <w:sz w:val="28"/>
          <w:szCs w:val="28"/>
          <w:highlight w:val="none"/>
          <w:lang w:val="en-US" w:eastAsia="zh-CN"/>
        </w:rPr>
        <w:t>能合法获得在有效期内的原厂高级故障诊断软件的诊断维修钥匙（service key），并保证不违反国家有关知识产权的法律规定。</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每年维保服务须指定专门工程师为采购人提供定期每月不少于1次巡检，每3个月提供不少于1次点检维保服务，成交人工程师应提前一周内通知采购人保养时间，如因采购人原因导致不能执行保养，成交人将不对此承担责任。计划性定期的维修服务检测包括机器清洁、性能测试及校准、必要的机械或电气的检查、以及非紧急性质的补救性维修、和确保系统能按照制造商的产品规格运行的</w:t>
      </w:r>
      <w:bookmarkStart w:id="0" w:name="_GoBack"/>
      <w:bookmarkEnd w:id="0"/>
      <w:r>
        <w:rPr>
          <w:rFonts w:hint="eastAsia" w:ascii="仿宋" w:hAnsi="仿宋" w:eastAsia="仿宋" w:cs="仿宋"/>
          <w:sz w:val="28"/>
          <w:szCs w:val="28"/>
        </w:rPr>
        <w:t>维修。此项定期维护服务间隔进行。并提交检查报告给设备科存档。</w:t>
      </w:r>
    </w:p>
    <w:p>
      <w:pPr>
        <w:widowControl/>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在线支持，协助采购人的工程师分析和维修有关设备。电话支援在采购人拨打维修热线后，成交人资深工程师即时诊断机器故障，制定维修方案。</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零配件维修更换：</w:t>
      </w:r>
      <w:r>
        <w:rPr>
          <w:rFonts w:hint="eastAsia" w:ascii="仿宋" w:hAnsi="仿宋" w:eastAsia="仿宋" w:cs="仿宋"/>
          <w:b/>
          <w:sz w:val="28"/>
          <w:szCs w:val="28"/>
        </w:rPr>
        <w:t>维修所更换的零配件均保证为原厂配件</w:t>
      </w:r>
      <w:r>
        <w:rPr>
          <w:rFonts w:hint="eastAsia" w:ascii="仿宋" w:hAnsi="仿宋" w:eastAsia="仿宋" w:cs="仿宋"/>
          <w:sz w:val="28"/>
          <w:szCs w:val="28"/>
        </w:rPr>
        <w:t>（更换零部件，人工费和出差费等），由成交人承担。</w:t>
      </w:r>
      <w:r>
        <w:rPr>
          <w:rFonts w:hint="eastAsia" w:ascii="仿宋" w:hAnsi="仿宋" w:eastAsia="仿宋" w:cs="仿宋"/>
          <w:color w:val="auto"/>
          <w:sz w:val="28"/>
          <w:szCs w:val="28"/>
          <w:highlight w:val="none"/>
          <w:lang w:val="en-US" w:eastAsia="zh-CN"/>
        </w:rPr>
        <w:t>零配件保障：保养及维修中需更换的耗品、硬件、软件等。</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（1）竞标人</w:t>
      </w:r>
      <w:r>
        <w:rPr>
          <w:rFonts w:hint="eastAsia" w:ascii="仿宋" w:hAnsi="仿宋" w:eastAsia="仿宋" w:cs="仿宋"/>
          <w:color w:val="auto"/>
          <w:sz w:val="28"/>
          <w:szCs w:val="28"/>
          <w:highlight w:val="none"/>
          <w:lang w:val="en-US" w:eastAsia="zh-CN"/>
        </w:rPr>
        <w:t>应具备取得设备厂家零配件的合法渠道，且保证零配件必须是符合国家相关规范要求的合格产品。</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（2）提供保修所需的备件，保证有在48小时内提供备品备件的能力，合同期内设备发生的维修备件一般情况下48小时到达医院，最长不超过七个工作日。更换的旧配件由供应商负责处理。</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（3）备件应是性能良好，原厂未拆封。</w:t>
      </w:r>
    </w:p>
    <w:p>
      <w:pPr>
        <w:widowControl/>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配置清单中包括的设备，如果在自然损耗以及按照年保服务方要求的清洗消毒方法的情况下发生故障，维保服务公司须进行无条件维修。</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①在零件齐备的情况下，维保服务公司保证72小时之内完成小维修。</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②在零件齐备的情况下，维保服务公司保证15个工作日内完成大维修。</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③设备发生大修时，维保服务公司须在</w:t>
      </w:r>
      <w:r>
        <w:rPr>
          <w:rFonts w:hint="eastAsia" w:ascii="仿宋" w:hAnsi="仿宋" w:eastAsia="仿宋" w:cs="仿宋"/>
          <w:sz w:val="28"/>
          <w:szCs w:val="28"/>
          <w:lang w:val="en-US" w:eastAsia="zh-CN"/>
        </w:rPr>
        <w:t>48</w:t>
      </w:r>
      <w:r>
        <w:rPr>
          <w:rFonts w:hint="eastAsia" w:ascii="仿宋" w:hAnsi="仿宋" w:eastAsia="仿宋" w:cs="仿宋"/>
          <w:sz w:val="28"/>
          <w:szCs w:val="28"/>
        </w:rPr>
        <w:t>小时内提供备品，保证设备正常运行。</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7.</w:t>
      </w:r>
      <w:r>
        <w:rPr>
          <w:rFonts w:hint="eastAsia" w:ascii="仿宋" w:hAnsi="仿宋" w:eastAsia="仿宋" w:cs="仿宋"/>
          <w:color w:val="auto"/>
          <w:sz w:val="28"/>
          <w:szCs w:val="28"/>
          <w:highlight w:val="none"/>
          <w:lang w:val="en-US" w:eastAsia="zh-CN"/>
        </w:rPr>
        <w:t>质量保证：通过以下任务和工作以保证设备质量达到制造商生产检验质量标准。</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（1）制定检查计划</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（2）图象质量（效果）检查</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（3）评判参数结果</w:t>
      </w:r>
    </w:p>
    <w:p>
      <w:pPr>
        <w:keepNext w:val="0"/>
        <w:keepLines w:val="0"/>
        <w:pageBreakBefore w:val="0"/>
        <w:widowControl w:val="0"/>
        <w:numPr>
          <w:ilvl w:val="0"/>
          <w:numId w:val="0"/>
        </w:numPr>
        <w:kinsoku/>
        <w:wordWrap w:val="0"/>
        <w:overflowPunct/>
        <w:topLinePunct w:val="0"/>
        <w:autoSpaceDE/>
        <w:autoSpaceDN/>
        <w:bidi w:val="0"/>
        <w:adjustRightInd/>
        <w:snapToGrid w:val="0"/>
        <w:spacing w:line="356"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（4）调整/校准</w:t>
      </w:r>
    </w:p>
    <w:p>
      <w:pPr>
        <w:widowControl/>
        <w:spacing w:line="360" w:lineRule="exact"/>
        <w:jc w:val="left"/>
        <w:textAlignment w:val="center"/>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（5）记录检查结果</w:t>
      </w:r>
    </w:p>
    <w:p>
      <w:pPr>
        <w:widowControl/>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rPr>
        <w:t>开机</w:t>
      </w:r>
      <w:r>
        <w:rPr>
          <w:rFonts w:hint="eastAsia" w:ascii="仿宋" w:hAnsi="仿宋" w:eastAsia="仿宋" w:cs="仿宋"/>
          <w:sz w:val="28"/>
          <w:szCs w:val="28"/>
          <w:lang w:val="en-US" w:eastAsia="zh-CN"/>
        </w:rPr>
        <w:t>率</w:t>
      </w:r>
      <w:r>
        <w:rPr>
          <w:rFonts w:hint="eastAsia" w:ascii="仿宋" w:hAnsi="仿宋" w:eastAsia="仿宋" w:cs="仿宋"/>
          <w:sz w:val="28"/>
          <w:szCs w:val="28"/>
        </w:rPr>
        <w:t>保证为95%</w:t>
      </w:r>
      <w:r>
        <w:rPr>
          <w:rFonts w:hint="eastAsia" w:ascii="仿宋" w:hAnsi="仿宋" w:eastAsia="仿宋" w:cs="仿宋"/>
          <w:sz w:val="28"/>
          <w:szCs w:val="28"/>
          <w:lang w:val="en-US" w:eastAsia="zh-CN"/>
        </w:rPr>
        <w:t>以上</w:t>
      </w:r>
      <w:r>
        <w:rPr>
          <w:rFonts w:hint="eastAsia" w:ascii="仿宋" w:hAnsi="仿宋" w:eastAsia="仿宋" w:cs="仿宋"/>
          <w:sz w:val="28"/>
          <w:szCs w:val="28"/>
        </w:rPr>
        <w:t>，即每年停机不超过13个工作日(一年253个工作日)，超过一天顺延一天。凡不在维修范围之内的系统部件损坏而导致停机，不包括在此条款之内。</w:t>
      </w:r>
    </w:p>
    <w:p>
      <w:pPr>
        <w:widowControl/>
        <w:numPr>
          <w:ilvl w:val="0"/>
          <w:numId w:val="0"/>
        </w:numPr>
        <w:spacing w:line="36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9.供应商或授权服务机构</w:t>
      </w:r>
      <w:r>
        <w:rPr>
          <w:rFonts w:hint="eastAsia" w:ascii="仿宋" w:hAnsi="仿宋" w:eastAsia="仿宋" w:cs="仿宋"/>
          <w:sz w:val="28"/>
          <w:szCs w:val="28"/>
          <w:lang w:val="en-US" w:eastAsia="zh-CN"/>
        </w:rPr>
        <w:t>对本项目设备</w:t>
      </w:r>
      <w:r>
        <w:rPr>
          <w:rFonts w:hint="eastAsia" w:ascii="仿宋" w:hAnsi="仿宋" w:eastAsia="仿宋" w:cs="仿宋"/>
          <w:i w:val="0"/>
          <w:iCs w:val="0"/>
          <w:color w:val="000000"/>
          <w:kern w:val="0"/>
          <w:sz w:val="28"/>
          <w:szCs w:val="28"/>
          <w:u w:val="none"/>
          <w:lang w:val="en-US" w:eastAsia="zh-CN" w:bidi="ar"/>
        </w:rPr>
        <w:t>维护保养</w:t>
      </w:r>
      <w:r>
        <w:rPr>
          <w:rFonts w:hint="eastAsia" w:ascii="仿宋" w:hAnsi="仿宋" w:eastAsia="仿宋" w:cs="仿宋"/>
          <w:color w:val="auto"/>
          <w:sz w:val="28"/>
          <w:szCs w:val="28"/>
          <w:highlight w:val="none"/>
          <w:lang w:val="en-US" w:eastAsia="zh-CN"/>
        </w:rPr>
        <w:t>服务工程师≥3名，并且具有保修该设备有效的医疗设备服务资质证。</w:t>
      </w:r>
    </w:p>
    <w:p>
      <w:pPr>
        <w:widowControl/>
        <w:numPr>
          <w:ilvl w:val="0"/>
          <w:numId w:val="0"/>
        </w:numPr>
        <w:spacing w:line="360" w:lineRule="exact"/>
        <w:ind w:firstLine="560" w:firstLineChars="200"/>
        <w:jc w:val="left"/>
        <w:textAlignment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10.供应商或授权服务机构在中国境内的备件库，具备保税仓库，提供备件库房合同复印件。</w:t>
      </w:r>
    </w:p>
    <w:p>
      <w:pPr>
        <w:widowControl/>
        <w:numPr>
          <w:ilvl w:val="0"/>
          <w:numId w:val="0"/>
        </w:numPr>
        <w:spacing w:line="36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color w:val="auto"/>
          <w:sz w:val="28"/>
          <w:szCs w:val="28"/>
          <w:highlight w:val="none"/>
          <w:lang w:val="en-US" w:eastAsia="zh-CN"/>
        </w:rPr>
        <w:t>提供设备维修的历史记录服务报告。</w:t>
      </w:r>
    </w:p>
    <w:p>
      <w:pPr>
        <w:widowControl/>
        <w:numPr>
          <w:ilvl w:val="0"/>
          <w:numId w:val="0"/>
        </w:numPr>
        <w:spacing w:line="360" w:lineRule="exact"/>
        <w:ind w:leftChars="0"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12.可提供设备合同状态查询。</w:t>
      </w:r>
    </w:p>
    <w:p>
      <w:pPr>
        <w:widowControl/>
        <w:numPr>
          <w:ilvl w:val="0"/>
          <w:numId w:val="0"/>
        </w:numPr>
        <w:spacing w:line="360" w:lineRule="exact"/>
        <w:ind w:leftChars="0"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13.支持远程服务的记录查询。</w:t>
      </w:r>
    </w:p>
    <w:p>
      <w:pPr>
        <w:widowControl/>
        <w:numPr>
          <w:ilvl w:val="0"/>
          <w:numId w:val="0"/>
        </w:numPr>
        <w:spacing w:line="360" w:lineRule="exact"/>
        <w:ind w:leftChars="0"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sz w:val="28"/>
          <w:szCs w:val="28"/>
          <w:lang w:val="en-US" w:eastAsia="zh-CN"/>
        </w:rPr>
        <w:t>竞标人</w:t>
      </w:r>
      <w:r>
        <w:rPr>
          <w:rFonts w:hint="eastAsia" w:ascii="仿宋" w:hAnsi="仿宋" w:eastAsia="仿宋" w:cs="仿宋"/>
          <w:color w:val="auto"/>
          <w:sz w:val="28"/>
          <w:szCs w:val="28"/>
          <w:highlight w:val="none"/>
          <w:lang w:val="en-US" w:eastAsia="zh-CN"/>
        </w:rPr>
        <w:t>应具有经校正的所维修保修保养设备的专业维修工具、仪器，和需校正的工具仪器的校正记录文件。</w:t>
      </w:r>
    </w:p>
    <w:p>
      <w:pPr>
        <w:rPr>
          <w:rFonts w:hint="eastAsia" w:ascii="仿宋" w:hAnsi="仿宋" w:eastAsia="仿宋" w:cs="仿宋"/>
          <w:szCs w:val="21"/>
        </w:rPr>
      </w:pPr>
    </w:p>
    <w:p>
      <w:pPr>
        <w:rPr>
          <w:rFonts w:hint="eastAsia" w:ascii="仿宋" w:hAnsi="仿宋" w:eastAsia="仿宋" w:cs="仿宋"/>
        </w:rPr>
      </w:pPr>
    </w:p>
    <w:tbl>
      <w:tblPr>
        <w:tblStyle w:val="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310"/>
        <w:gridCol w:w="3245"/>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99" w:type="dxa"/>
            <w:noWrap/>
            <w:vAlign w:val="center"/>
          </w:tcPr>
          <w:p>
            <w:pPr>
              <w:jc w:val="center"/>
              <w:rPr>
                <w:rFonts w:hint="eastAsia" w:ascii="仿宋" w:hAnsi="仿宋" w:eastAsia="仿宋" w:cs="仿宋"/>
                <w:b/>
                <w:bCs/>
              </w:rPr>
            </w:pPr>
            <w:r>
              <w:rPr>
                <w:rFonts w:hint="eastAsia" w:ascii="仿宋" w:hAnsi="仿宋" w:eastAsia="仿宋" w:cs="仿宋"/>
                <w:b/>
                <w:bCs/>
              </w:rPr>
              <w:t>设备类型</w:t>
            </w:r>
          </w:p>
        </w:tc>
        <w:tc>
          <w:tcPr>
            <w:tcW w:w="1310" w:type="dxa"/>
            <w:noWrap/>
            <w:vAlign w:val="center"/>
          </w:tcPr>
          <w:p>
            <w:pPr>
              <w:jc w:val="center"/>
              <w:rPr>
                <w:rFonts w:hint="eastAsia" w:ascii="仿宋" w:hAnsi="仿宋" w:eastAsia="仿宋" w:cs="仿宋"/>
                <w:b/>
                <w:bCs/>
              </w:rPr>
            </w:pPr>
            <w:r>
              <w:rPr>
                <w:rFonts w:hint="eastAsia" w:ascii="仿宋" w:hAnsi="仿宋" w:eastAsia="仿宋" w:cs="仿宋"/>
                <w:b/>
                <w:bCs/>
              </w:rPr>
              <w:t>序号</w:t>
            </w:r>
          </w:p>
        </w:tc>
        <w:tc>
          <w:tcPr>
            <w:tcW w:w="3245" w:type="dxa"/>
            <w:noWrap/>
            <w:vAlign w:val="center"/>
          </w:tcPr>
          <w:p>
            <w:pPr>
              <w:jc w:val="center"/>
              <w:rPr>
                <w:rFonts w:hint="eastAsia" w:ascii="仿宋" w:hAnsi="仿宋" w:eastAsia="仿宋" w:cs="仿宋"/>
                <w:b/>
                <w:bCs/>
                <w:lang w:val="en-US" w:eastAsia="zh-CN"/>
              </w:rPr>
            </w:pPr>
            <w:r>
              <w:rPr>
                <w:rFonts w:hint="eastAsia" w:ascii="仿宋" w:hAnsi="仿宋" w:eastAsia="仿宋" w:cs="仿宋"/>
                <w:b/>
                <w:bCs/>
                <w:lang w:val="en-US" w:eastAsia="zh-CN"/>
              </w:rPr>
              <w:t>设备型号</w:t>
            </w:r>
          </w:p>
        </w:tc>
        <w:tc>
          <w:tcPr>
            <w:tcW w:w="2785" w:type="dxa"/>
            <w:noWrap/>
            <w:vAlign w:val="center"/>
          </w:tcPr>
          <w:p>
            <w:pPr>
              <w:jc w:val="center"/>
              <w:rPr>
                <w:rFonts w:hint="eastAsia" w:ascii="仿宋" w:hAnsi="仿宋" w:eastAsia="仿宋" w:cs="仿宋"/>
                <w:b/>
                <w:bCs/>
              </w:rPr>
            </w:pPr>
            <w:r>
              <w:rPr>
                <w:rFonts w:hint="eastAsia" w:ascii="仿宋" w:hAnsi="仿宋" w:eastAsia="仿宋" w:cs="仿宋"/>
                <w:b/>
                <w:bCs/>
              </w:rPr>
              <w:t>机身号码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99" w:type="dxa"/>
            <w:vMerge w:val="restart"/>
            <w:noWrap/>
            <w:vAlign w:val="center"/>
          </w:tcPr>
          <w:p>
            <w:pPr>
              <w:jc w:val="center"/>
              <w:rPr>
                <w:rFonts w:hint="eastAsia" w:ascii="仿宋" w:hAnsi="仿宋" w:eastAsia="仿宋" w:cs="仿宋"/>
                <w:lang w:val="en-US" w:eastAsia="zh-CN"/>
              </w:rPr>
            </w:pPr>
            <w:r>
              <w:rPr>
                <w:rFonts w:hint="eastAsia" w:ascii="仿宋" w:hAnsi="仿宋" w:eastAsia="仿宋" w:cs="仿宋"/>
              </w:rPr>
              <w:t>电子</w:t>
            </w:r>
            <w:r>
              <w:rPr>
                <w:rFonts w:hint="eastAsia" w:ascii="仿宋" w:hAnsi="仿宋" w:eastAsia="仿宋" w:cs="仿宋"/>
                <w:lang w:val="en-US" w:eastAsia="zh-CN"/>
              </w:rPr>
              <w:t>内窥镜</w:t>
            </w:r>
          </w:p>
        </w:tc>
        <w:tc>
          <w:tcPr>
            <w:tcW w:w="1310" w:type="dxa"/>
            <w:noWrap/>
            <w:vAlign w:val="center"/>
          </w:tcPr>
          <w:p>
            <w:pPr>
              <w:jc w:val="center"/>
              <w:rPr>
                <w:rFonts w:hint="eastAsia" w:ascii="仿宋" w:hAnsi="仿宋" w:eastAsia="仿宋" w:cs="仿宋"/>
              </w:rPr>
            </w:pPr>
            <w:r>
              <w:rPr>
                <w:rFonts w:hint="eastAsia" w:ascii="仿宋" w:hAnsi="仿宋" w:eastAsia="仿宋" w:cs="仿宋"/>
              </w:rPr>
              <w:t>1</w:t>
            </w:r>
          </w:p>
        </w:tc>
        <w:tc>
          <w:tcPr>
            <w:tcW w:w="3245"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JTF-260V</w:t>
            </w:r>
          </w:p>
        </w:tc>
        <w:tc>
          <w:tcPr>
            <w:tcW w:w="2785"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2025305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99" w:type="dxa"/>
            <w:vMerge w:val="continue"/>
          </w:tcPr>
          <w:p>
            <w:pPr>
              <w:rPr>
                <w:rFonts w:hint="eastAsia" w:ascii="仿宋" w:hAnsi="仿宋" w:eastAsia="仿宋" w:cs="仿宋"/>
              </w:rPr>
            </w:pPr>
          </w:p>
        </w:tc>
        <w:tc>
          <w:tcPr>
            <w:tcW w:w="1310" w:type="dxa"/>
            <w:noWrap/>
            <w:vAlign w:val="center"/>
          </w:tcPr>
          <w:p>
            <w:pPr>
              <w:jc w:val="center"/>
              <w:rPr>
                <w:rFonts w:hint="eastAsia" w:ascii="仿宋" w:hAnsi="仿宋" w:eastAsia="仿宋" w:cs="仿宋"/>
              </w:rPr>
            </w:pPr>
            <w:r>
              <w:rPr>
                <w:rFonts w:hint="eastAsia" w:ascii="仿宋" w:hAnsi="仿宋" w:eastAsia="仿宋" w:cs="仿宋"/>
              </w:rPr>
              <w:t>2</w:t>
            </w:r>
          </w:p>
        </w:tc>
        <w:tc>
          <w:tcPr>
            <w:tcW w:w="3245"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GIF-HQ290</w:t>
            </w:r>
          </w:p>
        </w:tc>
        <w:tc>
          <w:tcPr>
            <w:tcW w:w="2785"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2063020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99" w:type="dxa"/>
            <w:vMerge w:val="continue"/>
          </w:tcPr>
          <w:p>
            <w:pPr>
              <w:rPr>
                <w:rFonts w:hint="eastAsia" w:ascii="仿宋" w:hAnsi="仿宋" w:eastAsia="仿宋" w:cs="仿宋"/>
              </w:rPr>
            </w:pPr>
          </w:p>
        </w:tc>
        <w:tc>
          <w:tcPr>
            <w:tcW w:w="1310" w:type="dxa"/>
            <w:noWrap/>
            <w:vAlign w:val="center"/>
          </w:tcPr>
          <w:p>
            <w:pPr>
              <w:jc w:val="center"/>
              <w:rPr>
                <w:rFonts w:hint="eastAsia" w:ascii="仿宋" w:hAnsi="仿宋" w:eastAsia="仿宋" w:cs="仿宋"/>
              </w:rPr>
            </w:pPr>
            <w:r>
              <w:rPr>
                <w:rFonts w:hint="eastAsia" w:ascii="仿宋" w:hAnsi="仿宋" w:eastAsia="仿宋" w:cs="仿宋"/>
              </w:rPr>
              <w:t>3</w:t>
            </w:r>
          </w:p>
        </w:tc>
        <w:tc>
          <w:tcPr>
            <w:tcW w:w="3245"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GIF-XP290N</w:t>
            </w:r>
          </w:p>
        </w:tc>
        <w:tc>
          <w:tcPr>
            <w:tcW w:w="2785"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2149607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99" w:type="dxa"/>
            <w:vMerge w:val="continue"/>
          </w:tcPr>
          <w:p>
            <w:pPr>
              <w:rPr>
                <w:rFonts w:hint="eastAsia" w:ascii="仿宋" w:hAnsi="仿宋" w:eastAsia="仿宋" w:cs="仿宋"/>
              </w:rPr>
            </w:pPr>
          </w:p>
        </w:tc>
        <w:tc>
          <w:tcPr>
            <w:tcW w:w="1310"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3245"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GIF-H290Z</w:t>
            </w:r>
          </w:p>
        </w:tc>
        <w:tc>
          <w:tcPr>
            <w:tcW w:w="2785"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2136674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99" w:type="dxa"/>
            <w:vAlign w:val="center"/>
          </w:tcPr>
          <w:p>
            <w:pPr>
              <w:jc w:val="center"/>
              <w:rPr>
                <w:rFonts w:hint="eastAsia" w:ascii="仿宋" w:hAnsi="仿宋" w:eastAsia="仿宋" w:cs="仿宋"/>
              </w:rPr>
            </w:pPr>
            <w:r>
              <w:rPr>
                <w:rFonts w:hint="eastAsia" w:ascii="仿宋" w:hAnsi="仿宋" w:eastAsia="仿宋" w:cs="仿宋"/>
                <w:lang w:val="en-US" w:eastAsia="zh-CN"/>
              </w:rPr>
              <w:t>主机型号</w:t>
            </w:r>
          </w:p>
        </w:tc>
        <w:tc>
          <w:tcPr>
            <w:tcW w:w="1310" w:type="dxa"/>
            <w:noWrap/>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3245" w:type="dxa"/>
            <w:noWrap/>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cV-290</w:t>
            </w:r>
          </w:p>
          <w:p>
            <w:pPr>
              <w:jc w:val="center"/>
              <w:rPr>
                <w:rFonts w:hint="eastAsia" w:ascii="仿宋" w:hAnsi="仿宋" w:eastAsia="仿宋" w:cs="仿宋"/>
                <w:lang w:val="en-US" w:eastAsia="zh-CN"/>
              </w:rPr>
            </w:pPr>
            <w:r>
              <w:rPr>
                <w:rFonts w:hint="eastAsia" w:ascii="仿宋" w:hAnsi="仿宋" w:eastAsia="仿宋" w:cs="仿宋"/>
                <w:lang w:val="en-US" w:eastAsia="zh-CN"/>
              </w:rPr>
              <w:t>CLV-290</w:t>
            </w:r>
          </w:p>
        </w:tc>
        <w:tc>
          <w:tcPr>
            <w:tcW w:w="2785" w:type="dxa"/>
            <w:vAlign w:val="center"/>
          </w:tcPr>
          <w:p>
            <w:pPr>
              <w:jc w:val="center"/>
              <w:rPr>
                <w:rFonts w:hint="eastAsia" w:ascii="仿宋" w:hAnsi="仿宋" w:eastAsia="仿宋" w:cs="仿宋"/>
                <w:lang w:val="en-US" w:eastAsia="zh-CN"/>
              </w:rPr>
            </w:pPr>
          </w:p>
        </w:tc>
      </w:tr>
    </w:tbl>
    <w:p>
      <w:pPr>
        <w:rPr>
          <w:rFonts w:hint="eastAsia" w:ascii="仿宋" w:hAnsi="仿宋" w:eastAsia="仿宋" w:cs="仿宋"/>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201862"/>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D"/>
    <w:rsid w:val="0002476B"/>
    <w:rsid w:val="0008130C"/>
    <w:rsid w:val="000D177C"/>
    <w:rsid w:val="00130A45"/>
    <w:rsid w:val="001B6B5A"/>
    <w:rsid w:val="002F0704"/>
    <w:rsid w:val="003F6778"/>
    <w:rsid w:val="00410C3D"/>
    <w:rsid w:val="00427A57"/>
    <w:rsid w:val="00436F53"/>
    <w:rsid w:val="00456E52"/>
    <w:rsid w:val="004B1DFD"/>
    <w:rsid w:val="004B209D"/>
    <w:rsid w:val="004F1DBC"/>
    <w:rsid w:val="004F704F"/>
    <w:rsid w:val="00550066"/>
    <w:rsid w:val="00643801"/>
    <w:rsid w:val="00695314"/>
    <w:rsid w:val="00697997"/>
    <w:rsid w:val="006D1CDA"/>
    <w:rsid w:val="006F155D"/>
    <w:rsid w:val="00704C16"/>
    <w:rsid w:val="00814BE3"/>
    <w:rsid w:val="00864F03"/>
    <w:rsid w:val="008B50C3"/>
    <w:rsid w:val="008D7F82"/>
    <w:rsid w:val="008E42FA"/>
    <w:rsid w:val="00950F78"/>
    <w:rsid w:val="00964C17"/>
    <w:rsid w:val="00A3636C"/>
    <w:rsid w:val="00AA0B36"/>
    <w:rsid w:val="00B0309D"/>
    <w:rsid w:val="00B21838"/>
    <w:rsid w:val="00BE42C2"/>
    <w:rsid w:val="00C01A77"/>
    <w:rsid w:val="00C856DF"/>
    <w:rsid w:val="00CD54FD"/>
    <w:rsid w:val="00CD78B8"/>
    <w:rsid w:val="00D550CC"/>
    <w:rsid w:val="00DF2C5F"/>
    <w:rsid w:val="00E0778F"/>
    <w:rsid w:val="00E46334"/>
    <w:rsid w:val="00F050C7"/>
    <w:rsid w:val="00F905BB"/>
    <w:rsid w:val="00FC47B3"/>
    <w:rsid w:val="09FB1ABC"/>
    <w:rsid w:val="0EFB3437"/>
    <w:rsid w:val="16872388"/>
    <w:rsid w:val="203F2777"/>
    <w:rsid w:val="2170578C"/>
    <w:rsid w:val="2F0F7428"/>
    <w:rsid w:val="354B0CAC"/>
    <w:rsid w:val="39F53DAE"/>
    <w:rsid w:val="444F4E01"/>
    <w:rsid w:val="49605E44"/>
    <w:rsid w:val="4D5C1A97"/>
    <w:rsid w:val="655312B0"/>
    <w:rsid w:val="6D0B11E5"/>
    <w:rsid w:val="77142610"/>
    <w:rsid w:val="7C44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1530</Words>
  <Characters>1619</Characters>
  <Lines>16</Lines>
  <Paragraphs>4</Paragraphs>
  <TotalTime>1</TotalTime>
  <ScaleCrop>false</ScaleCrop>
  <LinksUpToDate>false</LinksUpToDate>
  <CharactersWithSpaces>1620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2021-06-25T11:57:00Z</dcterms:created>
  <dc:creator>localadmin</dc:creator>
  <cp:lastModifiedBy>杨德文</cp:lastModifiedBy>
  <cp:lastPrinted>2025-06-25T08:24:45Z</cp:lastPrinted>
  <dcterms:modified xsi:type="dcterms:W3CDTF">2025-06-25T08:25:15Z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eyJoZGlkIjoiZDMwY2Q5ZDQxYmUyNTlmNmY2YTE5ODJiNjlkNmY4YTMiLCJ1c2VySWQiOiI0MDIyNjQzNzEifQ==</vt:lpwstr>
  </property>
  <property fmtid="{D5CDD505-2E9C-101B-9397-08002B2CF9AE}" pid="3" name="KSOProductBuildVer">
    <vt:lpwstr>2052-11.8.2.12085</vt:lpwstr>
  </property>
  <property fmtid="{D5CDD505-2E9C-101B-9397-08002B2CF9AE}" pid="4" name="ICV">
    <vt:lpwstr>9900A1E2615B4D86A69094D79A0CAAB1_13</vt:lpwstr>
  </property>
</Properties>
</file>